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color w:val="000000"/>
          <w:sz w:val="28"/>
        </w:rPr>
      </w:pPr>
      <w:r>
        <w:rPr>
          <w:rFonts w:ascii="Franklin Gothic Book;sans-serif" w:hAnsi="Franklin Gothic Book;sans-serif"/>
          <w:b/>
          <w:color w:val="000000"/>
          <w:sz w:val="28"/>
        </w:rPr>
        <w:t>UNITED STATES</w:t>
      </w:r>
    </w:p>
    <w:p>
      <w:pPr>
        <w:pStyle w:val="TextBody"/>
        <w:bidi w:val="0"/>
        <w:spacing w:lineRule="auto" w:line="288" w:before="0" w:after="0"/>
        <w:jc w:val="center"/>
        <w:rPr>
          <w:rFonts w:ascii="Franklin Gothic Book;sans-serif" w:hAnsi="Franklin Gothic Book;sans-serif"/>
          <w:b/>
          <w:color w:val="000000"/>
          <w:sz w:val="28"/>
        </w:rPr>
      </w:pPr>
      <w:r>
        <w:rPr>
          <w:rFonts w:ascii="Franklin Gothic Book;sans-serif" w:hAnsi="Franklin Gothic Book;sans-serif"/>
          <w:b/>
          <w:color w:val="000000"/>
          <w:sz w:val="28"/>
        </w:rPr>
        <w:t>SECURITIES AND EXCHANGE COMMISSION</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36"/>
        </w:rPr>
      </w:pPr>
      <w:r>
        <w:rPr>
          <w:rFonts w:ascii="Franklin Gothic Book;sans-serif" w:hAnsi="Franklin Gothic Book;sans-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CURRENT REPORT</w:t>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Franklin Gothic Book;sans-serif" w:hAnsi="Franklin Gothic Book;sans-serif"/>
          <w:b w:val="false"/>
          <w:color w:val="000000"/>
          <w:sz w:val="24"/>
        </w:rPr>
        <w:t xml:space="preserve">Date of Report (Date of earliest event reported): </w:t>
      </w:r>
      <w:r>
        <w:rPr>
          <w:rFonts w:ascii="Franklin Gothic Book;sans-serif" w:hAnsi="Franklin Gothic Book;sans-serif"/>
          <w:b/>
          <w:color w:val="000000"/>
          <w:sz w:val="24"/>
        </w:rPr>
        <w:t>July 1, 2026</w:t>
      </w:r>
    </w:p>
    <w:p>
      <w:pPr>
        <w:pStyle w:val="TextBody"/>
        <w:bidi w:val="0"/>
        <w:spacing w:before="0" w:after="0"/>
        <w:jc w:val="center"/>
        <w:rPr/>
      </w:pPr>
      <w:r>
        <w:rPr/>
        <w:drawing>
          <wp:inline distT="0" distB="0" distL="0" distR="0">
            <wp:extent cx="11239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371475"/>
                    </a:xfrm>
                    <a:prstGeom prst="rect">
                      <a:avLst/>
                    </a:prstGeom>
                  </pic:spPr>
                </pic:pic>
              </a:graphicData>
            </a:graphic>
          </wp:inline>
        </w:drawing>
      </w:r>
      <w:bookmarkStart w:id="0" w:name="i-1"/>
      <w:bookmarkEnd w:id="0"/>
    </w:p>
    <w:p>
      <w:pPr>
        <w:pStyle w:val="TextBody"/>
        <w:bidi w:val="0"/>
        <w:spacing w:lineRule="auto" w:line="288" w:before="100" w:after="100"/>
        <w:jc w:val="center"/>
        <w:rPr/>
      </w:pPr>
      <w:r>
        <w:rPr>
          <w:rFonts w:ascii="Franklin Gothic Book;sans-serif" w:hAnsi="Franklin Gothic Book;sans-serif"/>
          <w:b/>
          <w:color w:val="000000"/>
          <w:sz w:val="48"/>
        </w:rPr>
        <w:t>Biogen Inc.</w:t>
      </w:r>
      <w:r>
        <w:rPr>
          <w:color w:val="000000"/>
        </w:rPr>
        <w:t xml:space="preserve"> </w:t>
      </w:r>
    </w:p>
    <w:p>
      <w:pPr>
        <w:pStyle w:val="TextBody"/>
        <w:bidi w:val="0"/>
        <w:spacing w:lineRule="auto" w:line="288" w:before="100" w:after="100"/>
        <w:jc w:val="center"/>
        <w:rPr>
          <w:rFonts w:ascii="Franklin Gothic Book;sans-serif" w:hAnsi="Franklin Gothic Book;sans-serif"/>
          <w:b w:val="false"/>
          <w:i/>
          <w:color w:val="000000"/>
          <w:sz w:val="16"/>
        </w:rPr>
      </w:pPr>
      <w:r>
        <w:rPr>
          <w:rFonts w:ascii="Franklin Gothic Book;sans-serif" w:hAnsi="Franklin Gothic Book;sans-serif"/>
          <w:b w:val="false"/>
          <w:i/>
          <w:color w:val="000000"/>
          <w:sz w:val="16"/>
        </w:rPr>
        <w:t xml:space="preserve">(Exact name of registrant as specified in its charter) </w:t>
      </w:r>
    </w:p>
    <w:tbl>
      <w:tblPr>
        <w:tblW w:w="8879" w:type="dxa"/>
        <w:jc w:val="center"/>
        <w:tblInd w:w="0" w:type="dxa"/>
        <w:tblLayout w:type="fixed"/>
        <w:tblCellMar>
          <w:top w:w="28" w:type="dxa"/>
          <w:left w:w="28" w:type="dxa"/>
          <w:bottom w:w="28" w:type="dxa"/>
          <w:right w:w="28" w:type="dxa"/>
        </w:tblCellMar>
      </w:tblPr>
      <w:tblGrid>
        <w:gridCol w:w="1352"/>
        <w:gridCol w:w="1187"/>
        <w:gridCol w:w="1196"/>
        <w:gridCol w:w="767"/>
        <w:gridCol w:w="767"/>
        <w:gridCol w:w="775"/>
        <w:gridCol w:w="831"/>
        <w:gridCol w:w="831"/>
        <w:gridCol w:w="1173"/>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Delaware</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0-19311</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33-0112644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(State or other jurisdiction of incorporation)</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(Commission File Number)</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pPr>
      <w:r>
        <w:rPr>
          <w:rFonts w:ascii="Franklin Gothic Book;sans-serif" w:hAnsi="Franklin Gothic Book;sans-serif"/>
          <w:b/>
          <w:color w:val="000000"/>
          <w:sz w:val="20"/>
        </w:rPr>
        <w:t xml:space="preserve">225 Binney Street, Cambridge, Massachusetts </w:t>
      </w:r>
      <w:r>
        <w:rPr>
          <w:rFonts w:ascii="Franklin Gothic Book;sans-serif" w:hAnsi="Franklin Gothic Book;sans-serif"/>
          <w:b w:val="false"/>
          <w:color w:val="000000"/>
          <w:sz w:val="20"/>
        </w:rPr>
        <w:t>02142</w:t>
      </w:r>
      <w:r>
        <w:rPr>
          <w:color w:val="000000"/>
        </w:rPr>
        <w:t xml:space="preserve"> </w:t>
      </w:r>
    </w:p>
    <w:p>
      <w:pPr>
        <w:pStyle w:val="TextBody"/>
        <w:bidi w:val="0"/>
        <w:spacing w:lineRule="auto" w:line="288" w:before="0" w:after="0"/>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(Address of principal executive offices; Zip Code)</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pPr>
      <w:r>
        <w:rPr>
          <w:rFonts w:ascii="Franklin Gothic Book;sans-serif" w:hAnsi="Franklin Gothic Book;sans-serif"/>
          <w:b w:val="false"/>
          <w:color w:val="000000"/>
          <w:sz w:val="20"/>
        </w:rPr>
        <w:t xml:space="preserve">Registrant’s telephone number, including area code: </w:t>
      </w:r>
      <w:r>
        <w:rPr>
          <w:rFonts w:ascii="Franklin Gothic Book;sans-serif" w:hAnsi="Franklin Gothic Book;sans-serif"/>
          <w:b/>
          <w:color w:val="000000"/>
          <w:sz w:val="20"/>
        </w:rPr>
        <w:t>(617) 679-2000</w:t>
      </w:r>
      <w:r>
        <w:rPr>
          <w:color w:val="000000"/>
        </w:rPr>
        <w:t xml:space="preserve"> </w:t>
      </w:r>
    </w:p>
    <w:p>
      <w:pPr>
        <w:pStyle w:val="TextBody"/>
        <w:bidi w:val="0"/>
        <w:spacing w:lineRule="auto" w:line="288" w:before="0" w:after="0"/>
        <w:jc w:val="center"/>
        <w:rPr>
          <w:rFonts w:ascii="Franklin Gothic Book;sans-serif" w:hAnsi="Franklin Gothic Book;sans-serif"/>
          <w:b/>
          <w:color w:val="000000"/>
          <w:sz w:val="20"/>
        </w:rPr>
      </w:pPr>
      <w:r>
        <w:rPr>
          <w:rFonts w:ascii="Franklin Gothic Book;sans-serif" w:hAnsi="Franklin Gothic Book;sans-serif"/>
          <w:b/>
          <w:color w:val="000000"/>
          <w:sz w:val="20"/>
        </w:rPr>
        <w:t>Not Applicable</w:t>
      </w:r>
    </w:p>
    <w:p>
      <w:pPr>
        <w:pStyle w:val="TextBody"/>
        <w:bidi w:val="0"/>
        <w:spacing w:lineRule="auto" w:line="288" w:before="0" w:after="0"/>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6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Securities registered pursuant to Section 12(b) of the Act:</w:t>
      </w:r>
    </w:p>
    <w:tbl>
      <w:tblPr>
        <w:tblW w:w="10072" w:type="dxa"/>
        <w:jc w:val="center"/>
        <w:tblInd w:w="0" w:type="dxa"/>
        <w:tblLayout w:type="fixed"/>
        <w:tblCellMar>
          <w:top w:w="28" w:type="dxa"/>
          <w:left w:w="28" w:type="dxa"/>
          <w:bottom w:w="28" w:type="dxa"/>
          <w:right w:w="28" w:type="dxa"/>
        </w:tblCellMar>
      </w:tblPr>
      <w:tblGrid>
        <w:gridCol w:w="1418"/>
        <w:gridCol w:w="1245"/>
        <w:gridCol w:w="1252"/>
        <w:gridCol w:w="109"/>
        <w:gridCol w:w="109"/>
        <w:gridCol w:w="109"/>
        <w:gridCol w:w="544"/>
        <w:gridCol w:w="544"/>
        <w:gridCol w:w="546"/>
        <w:gridCol w:w="109"/>
        <w:gridCol w:w="109"/>
        <w:gridCol w:w="109"/>
        <w:gridCol w:w="1133"/>
        <w:gridCol w:w="1133"/>
        <w:gridCol w:w="1603"/>
      </w:tblGrid>
      <w:tr>
        <w:trPr/>
        <w:tc>
          <w:tcPr>
            <w:tcW w:w="14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16"/>
              </w:rPr>
            </w:pPr>
            <w:r>
              <w:rPr>
                <w:rFonts w:ascii="Franklin Gothic Book;sans-serif" w:hAnsi="Franklin Gothic Book;sans-serif"/>
                <w:b w:val="false"/>
                <w:color w:val="000000"/>
                <w:sz w:val="16"/>
              </w:rPr>
              <w:t>Name of each exchange on which registered</w:t>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Common Stock, $0.0005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BIIB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Franklin Gothic Book;sans-serif" w:hAnsi="Franklin Gothic Book;sans-serif"/>
          <w:b w:val="false"/>
          <w:color w:val="000000"/>
          <w:sz w:val="20"/>
        </w:rPr>
        <w:t xml:space="preserve">Emerging growth company </w:t>
      </w:r>
    </w:p>
    <w:p>
      <w:pPr>
        <w:pStyle w:val="TextBody"/>
        <w:bidi w:val="0"/>
        <w:spacing w:before="0" w:after="0"/>
        <w:jc w:val="left"/>
        <w:rPr/>
      </w:pPr>
      <w:r>
        <w:rPr/>
      </w:r>
    </w:p>
    <w:p>
      <w:pPr>
        <w:pStyle w:val="TextBody"/>
        <w:bidi w:val="0"/>
        <w:spacing w:lineRule="auto" w:line="288" w:before="0" w:after="0"/>
        <w:jc w:val="left"/>
        <w:rPr/>
      </w:pPr>
      <w:r>
        <w:rPr>
          <w:rFonts w:ascii="Franklin Gothic Book;sans-serif" w:hAnsi="Franklin Gothic Book;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color w:val="1C5A7D"/>
          <w:sz w:val="24"/>
        </w:rPr>
      </w:pPr>
      <w:r>
        <w:rPr>
          <w:rFonts w:ascii="Franklin Gothic Book;sans-serif" w:hAnsi="Franklin Gothic Book;sans-serif"/>
          <w:b/>
          <w:color w:val="1C5A7D"/>
          <w:sz w:val="24"/>
        </w:rPr>
        <w:t>Item 2.02     Results of Operations and Financial Condition</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Biogen Inc. (Biogen) expects that its GAAP and non-GAAP results for the second quarter of 2026 will include acquired in-process research and development, upfront and milestone expense of approximately $164 million on a pre-tax basis. The estimated charge is expected to impact GAAP and non-GAAP net income per diluted share for the second quarter of 2026 by approximately $0.95 per share.</w:t>
      </w:r>
    </w:p>
    <w:p>
      <w:pPr>
        <w:pStyle w:val="TextBody"/>
        <w:bidi w:val="0"/>
        <w:spacing w:lineRule="auto" w:line="288" w:before="18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Additionally, Biogen anticipates its GAAP and non-GAAP results for the third quarter of 2026 to include acquired in-process research and development, upfront and milestone expense ranging from approximately $290 million to $320 million relating to potential milestones and transactions that have not yet closed. The estimated charge is anticipated to impact GAAP and non-GAAP net income per diluted share for the third quarter of 2026 ranging from approximately $1.75 to $1.95 per share.</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Acquired in-process research and development, upfront and milestone expense includes costs incurred in connection with collaboration and license agreements such as upfront and milestone payments and, when applicable, premiums on equity securities and asset acquisitions of acquired in-process research and development. Biogen does not forecast such acquired in-process research and development, upfront and milestone expense due to the uncertainty of the future occurrence, magnitude and timing of these transactions in any given period.</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Results for the quarter ended June 30, 2026, have not been finalized and are subject to our financial statement closing procedures. There can be no assurance that our final results will not differ from the preliminary unaudited estimates described herein.</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 xml:space="preserve">Note Regarding Forward-Looking Statements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This Current Report on Form 8-K contains forward-looking statements relating to our financial and operating results and financial guidance, that are being made pursuant to the provisions of the Private Securities Litigation Reform Act of 1995 (the PSLRA) with the intention of obtaining the benefits of the “Safe Harbor” provisions of the PSLRA. These forward-looking statements may be accompanied by such words as “aim,” “anticipate,” "assume," “believe,” “contemplate,” “continue," "could," “estimate,” “expect,” “forecast,” “goal,” “guidance,” “hope,” “intend,” “may,” “objective,” "outlook," “plan,” “possible,” "potential," “predict,” “project,” “should,” “target,” “will,” “would” or the negative of these words or other words and terms of similar meaning.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Given their forward-looking nature, these statements involve substantial risks and uncertainties and may be based on inaccurate assumptions and could cause actual results to differ materially from those reflected in such statements. The information above includes, among others, forward-looking statements reflecting management’s current intentions and expectations for the future with respect to Biogen’s estimated acquired in-process research and development, upfront and milestone expense for the quarter ended June 30, 2026, and the related impact to Biogen’s GAAP and non-GAAP earnings per share for such period. These forward-looking statements are based on management's current beliefs and assumptions and on information currently available to management. Given their nature, we cannot assure that any outcome expressed in these forward-looking statements will be realized in whole or in part. </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These statements speak only as of the date of this Current Report on Form 8-K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and Form 10-K,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Franklin Gothic Book;sans-serif" w:hAnsi="Franklin Gothic Book;sans-serif"/>
          <w:b/>
          <w:color w:val="1C5A7D"/>
          <w:sz w:val="24"/>
        </w:rPr>
      </w:pPr>
      <w:r>
        <w:rPr>
          <w:rFonts w:ascii="Franklin Gothic Book;sans-serif" w:hAnsi="Franklin Gothic Book;sans-serif"/>
          <w:b/>
          <w:color w:val="1C5A7D"/>
          <w:sz w:val="24"/>
        </w:rPr>
        <w:t>Signatures</w:t>
      </w:r>
    </w:p>
    <w:p>
      <w:pPr>
        <w:pStyle w:val="TextBody"/>
        <w:bidi w:val="0"/>
        <w:spacing w:lineRule="auto" w:line="288" w:before="0" w:after="480"/>
        <w:jc w:val="both"/>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480"/>
        <w:jc w:val="left"/>
        <w:rPr>
          <w:rFonts w:ascii="Franklin Gothic Book;sans-serif" w:hAnsi="Franklin Gothic Book;sans-serif"/>
          <w:b/>
          <w:color w:val="000000"/>
          <w:sz w:val="20"/>
        </w:rPr>
      </w:pPr>
      <w:r>
        <w:rPr>
          <w:rFonts w:ascii="Franklin Gothic Book;sans-serif" w:hAnsi="Franklin Gothic Book;sans-serif"/>
          <w:b/>
          <w:color w:val="000000"/>
          <w:sz w:val="20"/>
        </w:rPr>
        <w:t>Biogen Inc.</w:t>
      </w:r>
    </w:p>
    <w:p>
      <w:pPr>
        <w:pStyle w:val="TextBody"/>
        <w:bidi w:val="0"/>
        <w:spacing w:lineRule="auto" w:line="288" w:before="0" w:after="0"/>
        <w:jc w:val="left"/>
        <w:rPr/>
      </w:pPr>
      <w:r>
        <w:rPr>
          <w:rFonts w:ascii="Franklin Gothic Book;sans-serif" w:hAnsi="Franklin Gothic Book;sans-serif"/>
          <w:b w:val="false"/>
          <w:color w:val="000000"/>
          <w:sz w:val="20"/>
        </w:rPr>
        <w:t xml:space="preserve">By: </w:t>
      </w:r>
      <w:r>
        <w:rPr>
          <w:rFonts w:ascii="Franklin Gothic Book;sans-serif" w:hAnsi="Franklin Gothic Book;sans-serif"/>
          <w:b w:val="false"/>
          <w:color w:val="000000"/>
          <w:sz w:val="20"/>
          <w:u w:val="single"/>
        </w:rPr>
        <w:t>/s/ Wendell Taylor                 </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Wendell Taylor</w:t>
      </w:r>
    </w:p>
    <w:p>
      <w:pPr>
        <w:pStyle w:val="TextBody"/>
        <w:bidi w:val="0"/>
        <w:spacing w:lineRule="auto" w:line="288"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Secretary</w:t>
      </w:r>
    </w:p>
    <w:p>
      <w:pPr>
        <w:pStyle w:val="TextBody"/>
        <w:bidi w:val="0"/>
        <w:spacing w:before="0" w:after="0"/>
        <w:jc w:val="left"/>
        <w:rPr/>
      </w:pPr>
      <w:r>
        <w:rPr/>
      </w:r>
    </w:p>
    <w:p>
      <w:pPr>
        <w:pStyle w:val="TextBody"/>
        <w:bidi w:val="0"/>
        <w:spacing w:lineRule="auto" w:line="288" w:before="0" w:after="0"/>
        <w:jc w:val="both"/>
        <w:rPr>
          <w:rFonts w:ascii="Franklin Gothic Book;sans-serif" w:hAnsi="Franklin Gothic Book;sans-serif"/>
          <w:b w:val="false"/>
          <w:color w:val="000000"/>
          <w:sz w:val="20"/>
        </w:rPr>
      </w:pPr>
      <w:r>
        <w:rPr>
          <w:rFonts w:ascii="Franklin Gothic Book;sans-serif" w:hAnsi="Franklin Gothic Book;sans-serif"/>
          <w:b w:val="false"/>
          <w:color w:val="000000"/>
          <w:sz w:val="20"/>
        </w:rPr>
        <w:t>Date: July 1,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994</Words>
  <Characters>5723</Characters>
  <CharactersWithSpaces>6706</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