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291465</wp:posOffset>
            </wp:positionV>
            <wp:extent cx="71647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382905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Tender Offer Statement Pursuant to Section 14(d)(1) or 13(e)(1)</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APELLIS PHARMACEUTICALS, INC.</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Subject Company)</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ASPEN PURCHASER SUB, INC.</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 Wholly Owned Subsidiary of</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BIOGEN INC.</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(Parent of Offeror)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03753U106</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Wendell Taylor</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Biogen Inc.</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225 Binney Street</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Cambridge, MA 02142</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(781) 464-2000</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7280" w:type="dxa"/>
            <w:vAlign w:val="bottom"/>
            <w:gridSpan w:val="2"/>
          </w:tcPr>
          <w:p>
            <w:pPr>
              <w:jc w:val="center"/>
              <w:ind w:right="3951"/>
              <w:spacing w:after="0"/>
              <w:rPr>
                <w:sz w:val="20"/>
                <w:szCs w:val="20"/>
                <w:color w:val="auto"/>
              </w:rPr>
            </w:pPr>
            <w:r>
              <w:rPr>
                <w:rFonts w:ascii="Times New Roman" w:cs="Times New Roman" w:eastAsia="Times New Roman" w:hAnsi="Times New Roman"/>
                <w:sz w:val="14"/>
                <w:szCs w:val="14"/>
                <w:b w:val="1"/>
                <w:bCs w:val="1"/>
                <w:i w:val="1"/>
                <w:iCs w:val="1"/>
                <w:color w:val="auto"/>
                <w:w w:val="98"/>
              </w:rPr>
              <w:t>with copies to:</w:t>
            </w:r>
          </w:p>
        </w:tc>
      </w:tr>
      <w:tr>
        <w:trPr>
          <w:trHeight w:val="314"/>
        </w:trPr>
        <w:tc>
          <w:tcPr>
            <w:tcW w:w="4020" w:type="dxa"/>
            <w:vAlign w:val="bottom"/>
          </w:tcPr>
          <w:p>
            <w:pPr>
              <w:spacing w:after="0"/>
              <w:rPr>
                <w:sz w:val="24"/>
                <w:szCs w:val="24"/>
                <w:color w:val="auto"/>
              </w:rPr>
            </w:pPr>
          </w:p>
        </w:tc>
        <w:tc>
          <w:tcPr>
            <w:tcW w:w="7280" w:type="dxa"/>
            <w:vAlign w:val="bottom"/>
            <w:gridSpan w:val="2"/>
          </w:tcPr>
          <w:p>
            <w:pPr>
              <w:jc w:val="center"/>
              <w:ind w:right="3971"/>
              <w:spacing w:after="0"/>
              <w:rPr>
                <w:sz w:val="20"/>
                <w:szCs w:val="20"/>
                <w:color w:val="auto"/>
              </w:rPr>
            </w:pPr>
            <w:r>
              <w:rPr>
                <w:rFonts w:ascii="Times New Roman" w:cs="Times New Roman" w:eastAsia="Times New Roman" w:hAnsi="Times New Roman"/>
                <w:sz w:val="14"/>
                <w:szCs w:val="14"/>
                <w:b w:val="1"/>
                <w:bCs w:val="1"/>
                <w:color w:val="auto"/>
                <w:w w:val="97"/>
              </w:rPr>
              <w:t>Aaron M. Gruber</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71"/>
              <w:spacing w:after="0"/>
              <w:rPr>
                <w:sz w:val="20"/>
                <w:szCs w:val="20"/>
                <w:color w:val="auto"/>
              </w:rPr>
            </w:pPr>
            <w:r>
              <w:rPr>
                <w:rFonts w:ascii="Times New Roman" w:cs="Times New Roman" w:eastAsia="Times New Roman" w:hAnsi="Times New Roman"/>
                <w:sz w:val="14"/>
                <w:szCs w:val="14"/>
                <w:b w:val="1"/>
                <w:bCs w:val="1"/>
                <w:color w:val="auto"/>
                <w:w w:val="98"/>
              </w:rPr>
              <w:t>Bethany A. Pfalzgraf</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71"/>
              <w:spacing w:after="0"/>
              <w:rPr>
                <w:sz w:val="20"/>
                <w:szCs w:val="20"/>
                <w:color w:val="auto"/>
              </w:rPr>
            </w:pPr>
            <w:r>
              <w:rPr>
                <w:rFonts w:ascii="Times New Roman" w:cs="Times New Roman" w:eastAsia="Times New Roman" w:hAnsi="Times New Roman"/>
                <w:sz w:val="14"/>
                <w:szCs w:val="14"/>
                <w:b w:val="1"/>
                <w:bCs w:val="1"/>
                <w:color w:val="auto"/>
                <w:w w:val="96"/>
              </w:rPr>
              <w:t>Ryan J. Wichtowski</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71"/>
              <w:spacing w:after="0"/>
              <w:rPr>
                <w:sz w:val="20"/>
                <w:szCs w:val="20"/>
                <w:color w:val="auto"/>
              </w:rPr>
            </w:pPr>
            <w:r>
              <w:rPr>
                <w:rFonts w:ascii="Times New Roman" w:cs="Times New Roman" w:eastAsia="Times New Roman" w:hAnsi="Times New Roman"/>
                <w:sz w:val="14"/>
                <w:szCs w:val="14"/>
                <w:b w:val="1"/>
                <w:bCs w:val="1"/>
                <w:color w:val="auto"/>
                <w:w w:val="97"/>
              </w:rPr>
              <w:t>Cravath, Swaine &amp; Moore LLP</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51"/>
              <w:spacing w:after="0"/>
              <w:rPr>
                <w:sz w:val="20"/>
                <w:szCs w:val="20"/>
                <w:color w:val="auto"/>
              </w:rPr>
            </w:pPr>
            <w:r>
              <w:rPr>
                <w:rFonts w:ascii="Times New Roman" w:cs="Times New Roman" w:eastAsia="Times New Roman" w:hAnsi="Times New Roman"/>
                <w:sz w:val="14"/>
                <w:szCs w:val="14"/>
                <w:b w:val="1"/>
                <w:bCs w:val="1"/>
                <w:color w:val="auto"/>
                <w:w w:val="96"/>
              </w:rPr>
              <w:t>Two Manhattan West</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71"/>
              <w:spacing w:after="0"/>
              <w:rPr>
                <w:sz w:val="20"/>
                <w:szCs w:val="20"/>
                <w:color w:val="auto"/>
              </w:rPr>
            </w:pPr>
            <w:r>
              <w:rPr>
                <w:rFonts w:ascii="Times New Roman" w:cs="Times New Roman" w:eastAsia="Times New Roman" w:hAnsi="Times New Roman"/>
                <w:sz w:val="14"/>
                <w:szCs w:val="14"/>
                <w:b w:val="1"/>
                <w:bCs w:val="1"/>
                <w:color w:val="auto"/>
                <w:w w:val="96"/>
              </w:rPr>
              <w:t>375 Ninth Avenue</w:t>
            </w:r>
          </w:p>
        </w:tc>
      </w:tr>
      <w:tr>
        <w:trPr>
          <w:trHeight w:val="165"/>
        </w:trPr>
        <w:tc>
          <w:tcPr>
            <w:tcW w:w="4020" w:type="dxa"/>
            <w:vAlign w:val="bottom"/>
          </w:tcPr>
          <w:p>
            <w:pPr>
              <w:spacing w:after="0"/>
              <w:rPr>
                <w:sz w:val="14"/>
                <w:szCs w:val="14"/>
                <w:color w:val="auto"/>
              </w:rPr>
            </w:pPr>
          </w:p>
        </w:tc>
        <w:tc>
          <w:tcPr>
            <w:tcW w:w="7280" w:type="dxa"/>
            <w:vAlign w:val="bottom"/>
            <w:gridSpan w:val="2"/>
          </w:tcPr>
          <w:p>
            <w:pPr>
              <w:jc w:val="center"/>
              <w:ind w:right="3951"/>
              <w:spacing w:after="0"/>
              <w:rPr>
                <w:sz w:val="20"/>
                <w:szCs w:val="20"/>
                <w:color w:val="auto"/>
              </w:rPr>
            </w:pPr>
            <w:r>
              <w:rPr>
                <w:rFonts w:ascii="Times New Roman" w:cs="Times New Roman" w:eastAsia="Times New Roman" w:hAnsi="Times New Roman"/>
                <w:sz w:val="14"/>
                <w:szCs w:val="14"/>
                <w:b w:val="1"/>
                <w:bCs w:val="1"/>
                <w:color w:val="auto"/>
                <w:w w:val="96"/>
              </w:rPr>
              <w:t>New York, NY 10001</w:t>
            </w:r>
          </w:p>
        </w:tc>
      </w:tr>
      <w:tr>
        <w:trPr>
          <w:trHeight w:val="180"/>
        </w:trPr>
        <w:tc>
          <w:tcPr>
            <w:tcW w:w="4020" w:type="dxa"/>
            <w:vAlign w:val="bottom"/>
          </w:tcPr>
          <w:p>
            <w:pPr>
              <w:spacing w:after="0"/>
              <w:rPr>
                <w:sz w:val="15"/>
                <w:szCs w:val="15"/>
                <w:color w:val="auto"/>
              </w:rPr>
            </w:pPr>
          </w:p>
        </w:tc>
        <w:tc>
          <w:tcPr>
            <w:tcW w:w="7280" w:type="dxa"/>
            <w:vAlign w:val="bottom"/>
            <w:gridSpan w:val="2"/>
          </w:tcPr>
          <w:p>
            <w:pPr>
              <w:jc w:val="center"/>
              <w:ind w:right="3951"/>
              <w:spacing w:after="0"/>
              <w:rPr>
                <w:sz w:val="20"/>
                <w:szCs w:val="20"/>
                <w:color w:val="auto"/>
              </w:rPr>
            </w:pPr>
            <w:r>
              <w:rPr>
                <w:rFonts w:ascii="Times New Roman" w:cs="Times New Roman" w:eastAsia="Times New Roman" w:hAnsi="Times New Roman"/>
                <w:sz w:val="14"/>
                <w:szCs w:val="14"/>
                <w:b w:val="1"/>
                <w:bCs w:val="1"/>
                <w:color w:val="auto"/>
                <w:w w:val="98"/>
              </w:rPr>
              <w:t>(212) 474-1000</w:t>
            </w:r>
          </w:p>
        </w:tc>
      </w:tr>
      <w:tr>
        <w:trPr>
          <w:trHeight w:val="329"/>
        </w:trPr>
        <w:tc>
          <w:tcPr>
            <w:tcW w:w="4020" w:type="dxa"/>
            <w:vAlign w:val="bottom"/>
          </w:tcPr>
          <w:p>
            <w:pPr>
              <w:spacing w:after="0"/>
              <w:rPr>
                <w:sz w:val="24"/>
                <w:szCs w:val="24"/>
                <w:color w:val="auto"/>
              </w:rPr>
            </w:pPr>
          </w:p>
        </w:tc>
        <w:tc>
          <w:tcPr>
            <w:tcW w:w="7280" w:type="dxa"/>
            <w:vAlign w:val="bottom"/>
            <w:gridSpan w:val="2"/>
          </w:tcPr>
          <w:p>
            <w:pPr>
              <w:jc w:val="center"/>
              <w:ind w:right="3951"/>
              <w:spacing w:after="0"/>
              <w:rPr>
                <w:sz w:val="20"/>
                <w:szCs w:val="20"/>
                <w:color w:val="auto"/>
              </w:rPr>
            </w:pPr>
            <w:r>
              <w:rPr>
                <w:rFonts w:ascii="Times New Roman" w:cs="Times New Roman" w:eastAsia="Times New Roman" w:hAnsi="Times New Roman"/>
                <w:sz w:val="14"/>
                <w:szCs w:val="14"/>
                <w:b w:val="1"/>
                <w:bCs w:val="1"/>
                <w:color w:val="auto"/>
                <w:w w:val="97"/>
              </w:rPr>
              <w:t>CALCULATION OF FILING FEE</w:t>
            </w:r>
          </w:p>
        </w:tc>
      </w:tr>
      <w:tr>
        <w:trPr>
          <w:trHeight w:val="166"/>
        </w:trPr>
        <w:tc>
          <w:tcPr>
            <w:tcW w:w="4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tcPr>
          <w:p>
            <w:pPr>
              <w:spacing w:after="0"/>
              <w:rPr>
                <w:sz w:val="14"/>
                <w:szCs w:val="14"/>
                <w:color w:val="auto"/>
              </w:rPr>
            </w:pPr>
          </w:p>
        </w:tc>
      </w:tr>
      <w:tr>
        <w:trPr>
          <w:trHeight w:val="165"/>
        </w:trPr>
        <w:tc>
          <w:tcPr>
            <w:tcW w:w="4020" w:type="dxa"/>
            <w:vAlign w:val="bottom"/>
            <w:tcBorders>
              <w:left w:val="single" w:sz="8" w:color="auto"/>
              <w:bottom w:val="single" w:sz="8" w:color="auto"/>
            </w:tcBorders>
          </w:tcPr>
          <w:p>
            <w:pPr>
              <w:jc w:val="center"/>
              <w:ind w:left="1451"/>
              <w:spacing w:after="0"/>
              <w:rPr>
                <w:sz w:val="20"/>
                <w:szCs w:val="20"/>
                <w:color w:val="auto"/>
              </w:rPr>
            </w:pPr>
            <w:r>
              <w:rPr>
                <w:rFonts w:ascii="Times New Roman" w:cs="Times New Roman" w:eastAsia="Times New Roman" w:hAnsi="Times New Roman"/>
                <w:sz w:val="14"/>
                <w:szCs w:val="14"/>
                <w:b w:val="1"/>
                <w:bCs w:val="1"/>
                <w:color w:val="auto"/>
                <w:w w:val="96"/>
              </w:rPr>
              <w:t>Transaction Valuation</w:t>
            </w:r>
          </w:p>
        </w:tc>
        <w:tc>
          <w:tcPr>
            <w:tcW w:w="1520" w:type="dxa"/>
            <w:vAlign w:val="bottom"/>
            <w:tcBorders>
              <w:bottom w:val="single" w:sz="8" w:color="auto"/>
              <w:right w:val="single" w:sz="8" w:color="auto"/>
            </w:tcBorders>
          </w:tcPr>
          <w:p>
            <w:pPr>
              <w:spacing w:after="0"/>
              <w:rPr>
                <w:sz w:val="14"/>
                <w:szCs w:val="14"/>
                <w:color w:val="auto"/>
              </w:rPr>
            </w:pPr>
          </w:p>
        </w:tc>
        <w:tc>
          <w:tcPr>
            <w:tcW w:w="5760" w:type="dxa"/>
            <w:vAlign w:val="bottom"/>
            <w:tcBorders>
              <w:bottom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Amount of Filing Fee</w:t>
            </w:r>
          </w:p>
        </w:tc>
      </w:tr>
      <w:tr>
        <w:trPr>
          <w:trHeight w:val="165"/>
        </w:trPr>
        <w:tc>
          <w:tcPr>
            <w:tcW w:w="4020" w:type="dxa"/>
            <w:vAlign w:val="bottom"/>
            <w:tcBorders>
              <w:left w:val="single" w:sz="8" w:color="auto"/>
              <w:bottom w:val="single" w:sz="8" w:color="auto"/>
            </w:tcBorders>
          </w:tcPr>
          <w:p>
            <w:pPr>
              <w:jc w:val="center"/>
              <w:ind w:left="1451"/>
              <w:spacing w:after="0"/>
              <w:rPr>
                <w:sz w:val="20"/>
                <w:szCs w:val="20"/>
                <w:color w:val="auto"/>
              </w:rPr>
            </w:pPr>
            <w:r>
              <w:rPr>
                <w:rFonts w:ascii="Times New Roman" w:cs="Times New Roman" w:eastAsia="Times New Roman" w:hAnsi="Times New Roman"/>
                <w:sz w:val="14"/>
                <w:szCs w:val="14"/>
                <w:color w:val="auto"/>
                <w:w w:val="96"/>
              </w:rPr>
              <w:t>N/A*</w:t>
            </w:r>
          </w:p>
        </w:tc>
        <w:tc>
          <w:tcPr>
            <w:tcW w:w="1520" w:type="dxa"/>
            <w:vAlign w:val="bottom"/>
            <w:tcBorders>
              <w:bottom w:val="single" w:sz="8" w:color="auto"/>
              <w:right w:val="single" w:sz="8" w:color="auto"/>
            </w:tcBorders>
          </w:tcPr>
          <w:p>
            <w:pPr>
              <w:spacing w:after="0"/>
              <w:rPr>
                <w:sz w:val="14"/>
                <w:szCs w:val="14"/>
                <w:color w:val="auto"/>
              </w:rPr>
            </w:pPr>
          </w:p>
        </w:tc>
        <w:tc>
          <w:tcPr>
            <w:tcW w:w="576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4"/>
                <w:szCs w:val="14"/>
                <w:color w:val="auto"/>
                <w:w w:val="96"/>
              </w:rPr>
              <w:t>N/A*</w:t>
            </w:r>
          </w:p>
        </w:tc>
      </w:tr>
    </w:tbl>
    <w:p>
      <w:pPr>
        <w:spacing w:after="0" w:line="152" w:lineRule="exact"/>
        <w:rPr>
          <w:sz w:val="24"/>
          <w:szCs w:val="24"/>
          <w:color w:val="auto"/>
        </w:rPr>
      </w:pPr>
    </w:p>
    <w:p>
      <w:pPr>
        <w:ind w:left="240" w:hanging="238"/>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filing fee is not required in connection with this filing as it relates solely to preliminary communications made before the commencement of the tender offer.</w:t>
      </w:r>
    </w:p>
    <w:p>
      <w:pPr>
        <w:spacing w:after="0" w:line="168" w:lineRule="exact"/>
        <w:rPr>
          <w:sz w:val="24"/>
          <w:szCs w:val="24"/>
          <w:color w:val="auto"/>
        </w:rPr>
      </w:pPr>
    </w:p>
    <w:p>
      <w:pPr>
        <w:ind w:left="420" w:right="360" w:hanging="418"/>
        <w:spacing w:after="0" w:line="268" w:lineRule="auto"/>
        <w:tabs>
          <w:tab w:leader="none" w:pos="4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00"/>
          </w:cols>
          <w:pgMar w:left="300" w:top="804" w:right="299" w:bottom="1440" w:gutter="0" w:footer="0" w:header="0"/>
        </w:sectPr>
      </w:pP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Amount Previously Paid: N/A</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Form or Registration No.: N/A</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Filing Party: 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Date Filed: N/A</w:t>
      </w:r>
    </w:p>
    <w:p>
      <w:pPr>
        <w:spacing w:after="0" w:line="157" w:lineRule="exact"/>
        <w:rPr>
          <w:sz w:val="24"/>
          <w:szCs w:val="24"/>
          <w:color w:val="auto"/>
        </w:rPr>
      </w:pPr>
    </w:p>
    <w:p>
      <w:pPr>
        <w:sectPr>
          <w:pgSz w:w="11900" w:h="16838" w:orient="portrait"/>
          <w:cols w:equalWidth="0" w:num="2">
            <w:col w:w="5280" w:space="720"/>
            <w:col w:w="5300"/>
          </w:cols>
          <w:pgMar w:left="300" w:top="804" w:right="299" w:bottom="1440" w:gutter="0" w:footer="0" w:header="0"/>
          <w:type w:val="continuous"/>
        </w:sectPr>
      </w:pPr>
    </w:p>
    <w:p>
      <w:pPr>
        <w:ind w:left="400" w:hanging="398"/>
        <w:spacing w:after="0"/>
        <w:tabs>
          <w:tab w:leader="none" w:pos="40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Check the box if the filing relates solely to preliminary communications made before the commencement of a tender offer.</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boxes below to designate any transactions to which the statement relates:</w:t>
      </w:r>
    </w:p>
    <w:p>
      <w:pPr>
        <w:spacing w:after="0" w:line="13" w:lineRule="exact"/>
        <w:rPr>
          <w:sz w:val="24"/>
          <w:szCs w:val="24"/>
          <w:color w:val="auto"/>
        </w:rPr>
      </w:pPr>
    </w:p>
    <w:p>
      <w:pPr>
        <w:ind w:left="340" w:right="8100" w:firstLine="2"/>
        <w:spacing w:after="0" w:line="168" w:lineRule="exact"/>
        <w:tabs>
          <w:tab w:leader="none" w:pos="6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third-party tender offer subject to Rule 14d-1.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issuer tender offer subject to Rule 13e-4.</w:t>
      </w:r>
    </w:p>
    <w:p>
      <w:pPr>
        <w:jc w:val="both"/>
        <w:ind w:left="340" w:right="8000"/>
        <w:spacing w:after="0" w:line="175"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going-private transaction subject to Rule 13e-3.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amendment to Schedule 13D under Rule 13d-2.</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Check the following box if the filing is a final amendment reporting the results of the tender offer: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applicable, check the appropriate box(es) below to designate the appropriate rule provision(s) relied upon:</w:t>
      </w:r>
    </w:p>
    <w:p>
      <w:pPr>
        <w:spacing w:after="0" w:line="168" w:lineRule="exact"/>
        <w:rPr>
          <w:sz w:val="24"/>
          <w:szCs w:val="24"/>
          <w:color w:val="auto"/>
        </w:rPr>
      </w:pPr>
    </w:p>
    <w:p>
      <w:pPr>
        <w:ind w:left="680" w:hanging="338"/>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Rule 13e-4(i) (Cross-Border Issuer Tender Offer)</w:t>
      </w:r>
    </w:p>
    <w:p>
      <w:pPr>
        <w:spacing w:after="0" w:line="17" w:lineRule="exact"/>
        <w:rPr>
          <w:rFonts w:ascii="MS PGothic" w:cs="MS PGothic" w:eastAsia="MS PGothic" w:hAnsi="MS PGothic"/>
          <w:sz w:val="14"/>
          <w:szCs w:val="14"/>
          <w:color w:val="auto"/>
        </w:rPr>
      </w:pPr>
    </w:p>
    <w:p>
      <w:pPr>
        <w:ind w:left="680" w:hanging="338"/>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223520</wp:posOffset>
            </wp:positionV>
            <wp:extent cx="71647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300"/>
          </w:cols>
          <w:pgMar w:left="300" w:top="804" w:right="299" w:bottom="1440" w:gutter="0" w:footer="0" w:header="0"/>
          <w:type w:val="continuous"/>
        </w:sectPr>
      </w:pPr>
    </w:p>
    <w:bookmarkStart w:id="1" w:name="page2"/>
    <w:bookmarkEnd w:id="1"/>
    <w:p>
      <w:pPr>
        <w:ind w:right="180"/>
        <w:spacing w:after="0" w:line="285" w:lineRule="auto"/>
        <w:rPr>
          <w:sz w:val="20"/>
          <w:szCs w:val="20"/>
          <w:color w:val="auto"/>
        </w:rPr>
      </w:pPr>
      <w:r>
        <w:rPr>
          <w:rFonts w:ascii="Times New Roman" w:cs="Times New Roman" w:eastAsia="Times New Roman" w:hAnsi="Times New Roman"/>
          <w:sz w:val="13"/>
          <w:szCs w:val="13"/>
          <w:color w:val="auto"/>
        </w:rPr>
        <w:t>This filing relates solely to pre-commencement communications made before the commencement of a planned tender offer by Aspen Purchaser Sub, Inc., a Delaware corporation (“</w:t>
      </w:r>
      <w:r>
        <w:rPr>
          <w:rFonts w:ascii="Times New Roman" w:cs="Times New Roman" w:eastAsia="Times New Roman" w:hAnsi="Times New Roman"/>
          <w:sz w:val="13"/>
          <w:szCs w:val="13"/>
          <w:u w:val="single" w:color="auto"/>
          <w:color w:val="auto"/>
        </w:rPr>
        <w:t>Purchaser</w:t>
      </w:r>
      <w:r>
        <w:rPr>
          <w:rFonts w:ascii="Times New Roman" w:cs="Times New Roman" w:eastAsia="Times New Roman" w:hAnsi="Times New Roman"/>
          <w:sz w:val="13"/>
          <w:szCs w:val="13"/>
          <w:color w:val="auto"/>
        </w:rPr>
        <w:t>”), a wholly owned subsidiary of Biogen Inc., a Delaware corporation (“</w:t>
      </w:r>
      <w:r>
        <w:rPr>
          <w:rFonts w:ascii="Times New Roman" w:cs="Times New Roman" w:eastAsia="Times New Roman" w:hAnsi="Times New Roman"/>
          <w:sz w:val="13"/>
          <w:szCs w:val="13"/>
          <w:u w:val="single" w:color="auto"/>
          <w:color w:val="auto"/>
        </w:rPr>
        <w:t>Biogen</w:t>
      </w:r>
      <w:r>
        <w:rPr>
          <w:rFonts w:ascii="Times New Roman" w:cs="Times New Roman" w:eastAsia="Times New Roman" w:hAnsi="Times New Roman"/>
          <w:sz w:val="13"/>
          <w:szCs w:val="13"/>
          <w:color w:val="auto"/>
        </w:rPr>
        <w:t>”), for all of the outstanding shares of common stock, par value $0.0001 per share, of Apellis Pharmaceuticals, Inc., a Delaware corporation (“</w:t>
      </w:r>
      <w:r>
        <w:rPr>
          <w:rFonts w:ascii="Times New Roman" w:cs="Times New Roman" w:eastAsia="Times New Roman" w:hAnsi="Times New Roman"/>
          <w:sz w:val="13"/>
          <w:szCs w:val="13"/>
          <w:u w:val="single" w:color="auto"/>
          <w:color w:val="auto"/>
        </w:rPr>
        <w:t>Apellis</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u w:val="single" w:color="auto"/>
          <w:color w:val="auto"/>
        </w:rPr>
        <w:t>Apellis Common Stock</w:t>
      </w:r>
      <w:r>
        <w:rPr>
          <w:rFonts w:ascii="Times New Roman" w:cs="Times New Roman" w:eastAsia="Times New Roman" w:hAnsi="Times New Roman"/>
          <w:sz w:val="13"/>
          <w:szCs w:val="13"/>
          <w:color w:val="auto"/>
        </w:rPr>
        <w:t>”), pursuant to the Agreement and Plan of Merger, dated as of March 31, 2026, by and among Biogen, Purchaser and Apellis.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Important Information for Investors and Stockholders and Where to Find It</w:t>
      </w:r>
    </w:p>
    <w:p>
      <w:pPr>
        <w:spacing w:after="0" w:line="1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The tender offer described in this communication has not yet commenced. This communication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w:t>
      </w:r>
    </w:p>
    <w:p>
      <w:pPr>
        <w:spacing w:after="0" w:line="14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w:t>
      </w:r>
    </w:p>
    <w:p>
      <w:pPr>
        <w:spacing w:after="0" w:line="131"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This communication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w:t>
      </w:r>
    </w:p>
    <w:p>
      <w:pPr>
        <w:spacing w:after="0" w:line="1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w:t>
      </w:r>
    </w:p>
    <w:p>
      <w:pPr>
        <w:spacing w:after="0" w:line="15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140" w:type="dxa"/>
            <w:vAlign w:val="bottom"/>
            <w:gridSpan w:val="2"/>
          </w:tcPr>
          <w:p>
            <w:pPr>
              <w:ind w:left="39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14"/>
        </w:trPr>
        <w:tc>
          <w:tcPr>
            <w:tcW w:w="1140" w:type="dxa"/>
            <w:vAlign w:val="bottom"/>
            <w:gridSpan w:val="2"/>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8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48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9"/>
        </w:trPr>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9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Presentation at Apellis Pharmaceuticals, Inc. Employee Meeting on April 7, 2026</w:t>
            </w:r>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ectPr>
          <w:pgSz w:w="11900" w:h="16838" w:orient="portrait"/>
          <w:cols w:equalWidth="0" w:num="1">
            <w:col w:w="11280"/>
          </w:cols>
          <w:pgMar w:left="300" w:top="452"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Presentation at Apellis Pharmaceuticals, Inc. Employee Meeting on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212330" cy="4065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
          <w:szCs w:val="3"/>
          <w:color w:val="FFFFFF"/>
        </w:rPr>
        <w:t>OMBINING OUR STRENGTHS GETTING TO KNOW BIOGEN Confidential - For Internal Integration Planning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7"/>
        <w:spacing w:after="0" w:line="223" w:lineRule="auto"/>
        <w:rPr>
          <w:sz w:val="20"/>
          <w:szCs w:val="20"/>
          <w:color w:val="auto"/>
        </w:rPr>
      </w:pPr>
      <w:r>
        <w:rPr>
          <w:rFonts w:ascii="Times New Roman" w:cs="Times New Roman" w:eastAsia="Times New Roman" w:hAnsi="Times New Roman"/>
          <w:sz w:val="3"/>
          <w:szCs w:val="3"/>
          <w:color w:val="FFFFFF"/>
        </w:rPr>
        <w:t>Important Information The tender offer described in this communication has not yet commenced. This communication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 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 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7"/>
        <w:spacing w:after="0" w:line="219" w:lineRule="auto"/>
        <w:rPr>
          <w:sz w:val="20"/>
          <w:szCs w:val="20"/>
          <w:color w:val="auto"/>
        </w:rPr>
      </w:pPr>
      <w:r>
        <w:rPr>
          <w:rFonts w:ascii="Times New Roman" w:cs="Times New Roman" w:eastAsia="Times New Roman" w:hAnsi="Times New Roman"/>
          <w:sz w:val="3"/>
          <w:szCs w:val="3"/>
          <w:color w:val="FFFFFF"/>
        </w:rPr>
        <w:t>Cautionary Note Regarding Forward-Looking Statements This communication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 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4 IT’S GREAT TO MEET YOU Today we hope to: Share a little about us Get to know one another Discover what unites us, as well as the unique strengths we both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207645</wp:posOffset>
            </wp:positionV>
            <wp:extent cx="716470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5 UNLOCKING GREATER IMPACT ADVANCING IMMUNOLOGY Apellis' complement biology expertise deepens our immunology expertise DELIVERING VALUE Apellis’ talent, expertise and products can enhance Biogen’s growth portfolio and accelerate Biogen’s entry into nephrology REACHING MORE &amp; NEW PATIENTS Together we can serve more patients in new specialty and rare disease areas with significant unmet needs Apellis brings unique strengths that complement Biogen’s expertise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47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7"/>
        <w:spacing w:after="0" w:line="227" w:lineRule="auto"/>
        <w:rPr>
          <w:sz w:val="20"/>
          <w:szCs w:val="20"/>
          <w:color w:val="auto"/>
        </w:rPr>
      </w:pPr>
      <w:r>
        <w:rPr>
          <w:rFonts w:ascii="Times New Roman" w:cs="Times New Roman" w:eastAsia="Times New Roman" w:hAnsi="Times New Roman"/>
          <w:sz w:val="3"/>
          <w:szCs w:val="3"/>
          <w:color w:val="FFFFFF"/>
        </w:rPr>
        <w:t>6 Biogen was founded in 1978 by a group of visionaries — including Nobel laureates — who believed that science could do the impossible. That spirit of scientific courage and curiosity remains our most enduring competitive advantage. WE’RE BUILT ON BREAKTHROUGH SCIENCE 1978 Founded by 2 Nobel laureates and leading scientists in Geneva 1980s Pioneered recombinant DNA technology for human therapeutics, placed roots in Kendall Square 1990s–2000s Established global leadership in multiple sclerosis treatment Today Advancing multiple medical “firsts” in neurology, immunology and rare disease SPINRAZA® – The first treatment for SMA QALSODY® – a landmark ALS approval ZURZUVAE® – the first-ever oral therapy for postpartum depression. SKYCLARYS® – the first treatment for Friedreich ataxia. LEQEMBI® IQLIKTM – the first Alzheimer’s treatment designed for at-home administration Commercializing or advancing 5 breakthrough-designated innovations, including in lupus and kidney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00"/>
          </w:cols>
          <w:pgMar w:left="300" w:top="1440" w:right="3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7 A LOOK INSIDE BIOGEN ~8K Employees worldwide 2028 New headquarters in Kendall Square Global network across North America, Europe and Intercontinental region, with 45+ affiliates, and distribution partners in over an additional 60 countries 9 Manufacturing sites 8 in North Carolina, U.S., and 1 in Solothurn, Switzerland 100+ Countries receive our products $9.89B Revenue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470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 w:firstLine="9"/>
        <w:spacing w:after="0" w:line="227" w:lineRule="auto"/>
        <w:tabs>
          <w:tab w:leader="none" w:pos="25" w:val="left"/>
        </w:tabs>
        <w:numPr>
          <w:ilvl w:val="0"/>
          <w:numId w:val="6"/>
        </w:numPr>
        <w:rPr>
          <w:rFonts w:ascii="Times New Roman" w:cs="Times New Roman" w:eastAsia="Times New Roman" w:hAnsi="Times New Roman"/>
          <w:sz w:val="3"/>
          <w:szCs w:val="3"/>
          <w:color w:val="FFFFFF"/>
        </w:rPr>
      </w:pPr>
      <w:r>
        <w:rPr>
          <w:rFonts w:ascii="Times New Roman" w:cs="Times New Roman" w:eastAsia="Times New Roman" w:hAnsi="Times New Roman"/>
          <w:sz w:val="3"/>
          <w:szCs w:val="3"/>
          <w:color w:val="FFFFFF"/>
        </w:rPr>
        <w:t>Kai Living with Multiple Sclerosis WE’RE COMMERCIALIZING PRODUCTS IN THE MOST COMPLEX AND DEVASTATING DISEASES Cleo and Norma Living with Alzheimer’s Disease Elizabeth Living with Friedreich Ataxia 1 in 3 seniors die with AD or another dementia ALZHEIMER’S DISEASE #1 most common neurodegenerative disease &gt;55 million patients worldwide MULTIPLE SCLEROSIS 2.8 million estimated number of people living with MS worldwide &gt;1 million treated patients, but no ability to completely halt or reverse disease progression POSTPARTUM DEPRESSION 1 in 8 mothers report experiencing symptoms of PPD 500k estimated number of women in the U.S. who experience PPD ~50% of all PPD cases may go undiagnosed ~1 in 11k live births affected 85% of people living with SMA develop symptoms after infancy AMYOTROPHIC LATERAL SCLEROSIS ~352,000 people living with ALS/motor neuron disease worldwide 3- to 5-year life expectancy from symptom onset ~15% of cases are genetic ALS FRIEDREICH ATAXIA ~15k Estimated number of people living with FA worldwide 37 years average life expectancy SPINAL MUSCULAR ATROPHY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7164705"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171"/>
          </w:cols>
          <w:pgMar w:left="309" w:top="1440" w:right="4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Litifilimab Felzartamab Zorevunersen Dapirolizumab pegol High-risk/high-reward early-stage pipeline Research portfolio Additional early-stage BD 2030s Late 2020s Today Opportunities for longer-term growth Registrational late-stage pipeline Current revenue growth drivers OUR LONG-TERM STRATEGY: 3 SEQUENTIAL SETS OF POTENTIAL GROWTH DRIVERS Salanersen LEQEMBI (preclinical AD) 9 Note: Dapirolizumab pegol is being developed in collaboration with UCB; LEQEMBI (lecanemab-irmb) is being developed in collaboration with Eisai Co; SPINRAZA, QALSODY, and Salanersen are licensed from Ionis Pharmaceuticals, Inc; Zorevunersen is being developed in collaboration with Stoke Therapeutics, Inc.; ZURZUVAE is being developed in collaboration with Supernus Pharmaceuticals, Inc. # Rare disease is a commercial designation that includes multiple therapeutic indications. Immunology Neurology 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47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680"/>
          </w:cols>
          <w:pgMar w:left="300" w:top="1440" w:right="9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7"/>
        <w:spacing w:after="0" w:line="227" w:lineRule="auto"/>
        <w:rPr>
          <w:sz w:val="20"/>
          <w:szCs w:val="20"/>
          <w:color w:val="auto"/>
        </w:rPr>
      </w:pPr>
      <w:r>
        <w:rPr>
          <w:rFonts w:ascii="Times New Roman" w:cs="Times New Roman" w:eastAsia="Times New Roman" w:hAnsi="Times New Roman"/>
          <w:sz w:val="3"/>
          <w:szCs w:val="3"/>
          <w:color w:val="FFFFFF"/>
        </w:rPr>
        <w:t>10 Note: Dapirolizumab pegol is being developed in collaboration with UCB; LEQEMBI (lecanemab-irmb) is being developed in collaboration with Eisai Co; SPINRAZA, QALSODY, and Salanersen are licensed from Ionis Pharmaceuticals, Inc; Zorevunersen is being developed in collaboration with Stoke Therapeutics, Inc.; ZURZUVAE is being developed in collaboration with Supernus Pharmaceuticals, Inc. # Rare disease is a commercial designation that includes multiple therapeutic indications. C3G = complement 3 glomerulopathy; IC-MPGN = immune complex membranoproliferative glomerulonephritis APELLIS PROVIDES THE POTENTIAL FOR ADDITIONAL GROWTH PRODUCTS 10 Apellis adds two commercial assets Broadens, diversifies, and strengthens our current revenue growth drivers Best-in-class medicine approved in Geographic Atrophy Generated $587M of revenue in 2025 Regulatory filing for prefilled syringe planned for 1H 2026 Best-in-class medicine approved in C3G/IC-MPGN. Also marketed for PNH. Significant commercial potential that accelerates Biogen’s expansion into nephrology 2030s Opportunities for longer-term growth High-risk/high-reward early-stage pipeline Research portfolio Additional early-stage BD Late 2020s Registrational late-stage pipeline Litifilimab Felzartamab Zorevunersen Dapirolizumab pegol Salanersen LEQEMBI (preclinical AD) Immunology Neurology Rare Disease# Today Current revenue growth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275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12 OUR CULTURE MAKES BREAKTHROUGHS HAPPEN We boldly advance rigorous science to drive innovation in medicine. We are humble and curious, integrating external and internal advances to successfully compete. We achieve high performance and have greater impact by being decisive and solution-oriented, while effectively managing risk. We act with the highest integrity with each other and all who place their trust in us. We are open, embrace and leverage differences, and treat everyone with care and dignity. INCLUSIVE ETHICAL THINK BROADLY DRIVE RESULTS PIONEER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16470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7"/>
        <w:spacing w:after="0" w:line="227" w:lineRule="auto"/>
        <w:rPr>
          <w:sz w:val="20"/>
          <w:szCs w:val="20"/>
          <w:color w:val="auto"/>
        </w:rPr>
      </w:pPr>
      <w:r>
        <w:rPr>
          <w:rFonts w:ascii="Times New Roman" w:cs="Times New Roman" w:eastAsia="Times New Roman" w:hAnsi="Times New Roman"/>
          <w:sz w:val="3"/>
          <w:szCs w:val="3"/>
          <w:color w:val="FFFFFF"/>
        </w:rPr>
        <w:t>13 Sources: Biogen , Apellis CULTURE COMPARISON: BIOGEN + APELLIS Biogen and Apellis share themes of prioritizing science, being innovative and decisive, holding a patient-first focus, and embracing inclusion Science Focused Solution Oriented &amp; Innovative Patient Centered, Passionate &amp; Ethical Caring &amp; Inclusive Pioneer Boldly advance rigorous science Drive Results High performance; decisive and solution-oriented Think Broadly Humble &amp; curious; integrate internal and external advances Ethical Act with the highest integrity Inclusive Embrace differences; treat everyone with care and dignity We are Complement Scientific integrity, inclusion, curiosity, and collaboration. We are Fearless Take risks and push for productivity and innovation We love what we do Passionate about work, purpose, and impact We Care Improve the lives of patients, families, and employees We Belong Embrace differences; learn fearlessly and evolve together We are Resourceful Act in the most agile and efficient way Biogen Essentials Shared Themes Apellis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16470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275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27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065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2330" cy="406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THANK YOU &amp; QUESTIONS</w:t>
      </w:r>
    </w:p>
    <w:sectPr>
      <w:pgSz w:w="11900" w:h="16838" w:orient="portrait"/>
      <w:cols w:equalWidth="0" w:num="1">
        <w:col w:w="10159"/>
      </w:cols>
      <w:pgMar w:left="3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2026-04-07T16:06:22Z</dcterms:created>
  <dcterms:modified xsi:type="dcterms:W3CDTF">2026-04-07T16:06:22Z</dcterms:modified>
</cp:coreProperties>
</file>