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6" w:lineRule="exact"/>
        <w:rPr>
          <w:sz w:val="24"/>
          <w:szCs w:val="24"/>
          <w:color w:val="auto"/>
        </w:rPr>
      </w:pPr>
    </w:p>
    <w:p>
      <w:pPr>
        <w:ind w:left="4600"/>
        <w:spacing w:after="0"/>
        <w:rPr>
          <w:sz w:val="20"/>
          <w:szCs w:val="20"/>
          <w:color w:val="auto"/>
        </w:rPr>
      </w:pPr>
      <w:r>
        <w:rPr>
          <w:rFonts w:ascii="Arial" w:cs="Arial" w:eastAsia="Arial" w:hAnsi="Arial"/>
          <w:sz w:val="22"/>
          <w:szCs w:val="22"/>
          <w:color w:val="auto"/>
        </w:rPr>
        <w:t>_________________</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8-K/A</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186" w:lineRule="exact"/>
        <w:rPr>
          <w:sz w:val="24"/>
          <w:szCs w:val="24"/>
          <w:color w:val="auto"/>
        </w:rPr>
      </w:pPr>
    </w:p>
    <w:p>
      <w:pPr>
        <w:ind w:left="4600"/>
        <w:spacing w:after="0"/>
        <w:rPr>
          <w:sz w:val="20"/>
          <w:szCs w:val="20"/>
          <w:color w:val="auto"/>
        </w:rPr>
      </w:pPr>
      <w:r>
        <w:rPr>
          <w:rFonts w:ascii="Arial" w:cs="Arial" w:eastAsia="Arial" w:hAnsi="Arial"/>
          <w:sz w:val="22"/>
          <w:szCs w:val="22"/>
          <w:color w:val="auto"/>
        </w:rPr>
        <w:t>_________________</w:t>
      </w:r>
    </w:p>
    <w:p>
      <w:pPr>
        <w:spacing w:after="0" w:line="21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04"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14, 2026</w:t>
      </w:r>
    </w:p>
    <w:p>
      <w:pPr>
        <w:spacing w:after="0" w:line="204" w:lineRule="exact"/>
        <w:rPr>
          <w:sz w:val="24"/>
          <w:szCs w:val="24"/>
          <w:color w:val="auto"/>
        </w:rPr>
      </w:pPr>
    </w:p>
    <w:p>
      <w:pPr>
        <w:ind w:left="3760"/>
        <w:spacing w:after="0"/>
        <w:rPr>
          <w:sz w:val="20"/>
          <w:szCs w:val="20"/>
          <w:color w:val="auto"/>
        </w:rPr>
      </w:pPr>
      <w:r>
        <w:rPr>
          <w:rFonts w:ascii="Arial" w:cs="Arial" w:eastAsia="Arial" w:hAnsi="Arial"/>
          <w:sz w:val="22"/>
          <w:szCs w:val="22"/>
          <w:color w:val="auto"/>
        </w:rPr>
        <w:t>_______________________________</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Biogen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86" w:lineRule="exact"/>
        <w:rPr>
          <w:sz w:val="24"/>
          <w:szCs w:val="24"/>
          <w:color w:val="auto"/>
        </w:rPr>
      </w:pPr>
    </w:p>
    <w:p>
      <w:pPr>
        <w:ind w:left="376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tbl>
      <w:tblPr>
        <w:tblLayout w:type="fixed"/>
        <w:tblInd w:w="800" w:type="dxa"/>
        <w:tblCellMar>
          <w:top w:w="0" w:type="dxa"/>
          <w:left w:w="0" w:type="dxa"/>
          <w:bottom w:w="0" w:type="dxa"/>
          <w:right w:w="0" w:type="dxa"/>
        </w:tblCellMar>
      </w:tblPr>
      <w:tr>
        <w:trPr>
          <w:trHeight w:val="207"/>
        </w:trPr>
        <w:tc>
          <w:tcPr>
            <w:tcW w:w="3220" w:type="dxa"/>
            <w:vAlign w:val="bottom"/>
          </w:tcPr>
          <w:p>
            <w:pPr>
              <w:jc w:val="center"/>
              <w:ind w:right="1010"/>
              <w:spacing w:after="0"/>
              <w:rPr>
                <w:sz w:val="20"/>
                <w:szCs w:val="20"/>
                <w:color w:val="auto"/>
              </w:rPr>
            </w:pPr>
            <w:r>
              <w:rPr>
                <w:rFonts w:ascii="Arial" w:cs="Arial" w:eastAsia="Arial" w:hAnsi="Arial"/>
                <w:sz w:val="18"/>
                <w:szCs w:val="18"/>
                <w:b w:val="1"/>
                <w:bCs w:val="1"/>
                <w:color w:val="auto"/>
              </w:rPr>
              <w:t>Delaware</w:t>
            </w:r>
          </w:p>
        </w:tc>
        <w:tc>
          <w:tcPr>
            <w:tcW w:w="34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0-19311</w:t>
            </w:r>
          </w:p>
        </w:tc>
        <w:tc>
          <w:tcPr>
            <w:tcW w:w="2680" w:type="dxa"/>
            <w:vAlign w:val="bottom"/>
          </w:tcPr>
          <w:p>
            <w:pPr>
              <w:jc w:val="center"/>
              <w:ind w:left="1170"/>
              <w:spacing w:after="0"/>
              <w:rPr>
                <w:sz w:val="20"/>
                <w:szCs w:val="20"/>
                <w:color w:val="auto"/>
              </w:rPr>
            </w:pPr>
            <w:r>
              <w:rPr>
                <w:rFonts w:ascii="Arial" w:cs="Arial" w:eastAsia="Arial" w:hAnsi="Arial"/>
                <w:sz w:val="18"/>
                <w:szCs w:val="18"/>
                <w:b w:val="1"/>
                <w:bCs w:val="1"/>
                <w:color w:val="auto"/>
                <w:w w:val="97"/>
              </w:rPr>
              <w:t>33-0112644</w:t>
            </w:r>
          </w:p>
        </w:tc>
      </w:tr>
      <w:tr>
        <w:trPr>
          <w:trHeight w:val="203"/>
        </w:trPr>
        <w:tc>
          <w:tcPr>
            <w:tcW w:w="3220" w:type="dxa"/>
            <w:vAlign w:val="bottom"/>
          </w:tcPr>
          <w:p>
            <w:pPr>
              <w:jc w:val="center"/>
              <w:ind w:right="990"/>
              <w:spacing w:after="0" w:line="202" w:lineRule="exact"/>
              <w:rPr>
                <w:sz w:val="20"/>
                <w:szCs w:val="20"/>
                <w:color w:val="auto"/>
              </w:rPr>
            </w:pPr>
            <w:r>
              <w:rPr>
                <w:rFonts w:ascii="Arial" w:cs="Arial" w:eastAsia="Arial" w:hAnsi="Arial"/>
                <w:sz w:val="18"/>
                <w:szCs w:val="18"/>
                <w:color w:val="auto"/>
                <w:w w:val="99"/>
              </w:rPr>
              <w:t>(State or Other Jurisdiction</w:t>
            </w:r>
          </w:p>
        </w:tc>
        <w:tc>
          <w:tcPr>
            <w:tcW w:w="3400" w:type="dxa"/>
            <w:vAlign w:val="bottom"/>
          </w:tcPr>
          <w:p>
            <w:pPr>
              <w:jc w:val="center"/>
              <w:ind w:right="90"/>
              <w:spacing w:after="0" w:line="202" w:lineRule="exact"/>
              <w:rPr>
                <w:sz w:val="20"/>
                <w:szCs w:val="20"/>
                <w:color w:val="auto"/>
              </w:rPr>
            </w:pPr>
            <w:r>
              <w:rPr>
                <w:rFonts w:ascii="Arial" w:cs="Arial" w:eastAsia="Arial" w:hAnsi="Arial"/>
                <w:sz w:val="18"/>
                <w:szCs w:val="18"/>
                <w:color w:val="auto"/>
              </w:rPr>
              <w:t>(Commission</w:t>
            </w:r>
          </w:p>
        </w:tc>
        <w:tc>
          <w:tcPr>
            <w:tcW w:w="2680" w:type="dxa"/>
            <w:vAlign w:val="bottom"/>
          </w:tcPr>
          <w:p>
            <w:pPr>
              <w:jc w:val="center"/>
              <w:ind w:left="1190"/>
              <w:spacing w:after="0" w:line="202" w:lineRule="exact"/>
              <w:rPr>
                <w:sz w:val="20"/>
                <w:szCs w:val="20"/>
                <w:color w:val="auto"/>
              </w:rPr>
            </w:pPr>
            <w:r>
              <w:rPr>
                <w:rFonts w:ascii="Arial" w:cs="Arial" w:eastAsia="Arial" w:hAnsi="Arial"/>
                <w:sz w:val="18"/>
                <w:szCs w:val="18"/>
                <w:color w:val="auto"/>
                <w:w w:val="99"/>
              </w:rPr>
              <w:t>(I.R.S. Employer</w:t>
            </w:r>
          </w:p>
        </w:tc>
      </w:tr>
      <w:tr>
        <w:trPr>
          <w:trHeight w:val="239"/>
        </w:trPr>
        <w:tc>
          <w:tcPr>
            <w:tcW w:w="3220" w:type="dxa"/>
            <w:vAlign w:val="bottom"/>
          </w:tcPr>
          <w:p>
            <w:pPr>
              <w:jc w:val="center"/>
              <w:ind w:right="1010"/>
              <w:spacing w:after="0"/>
              <w:rPr>
                <w:sz w:val="20"/>
                <w:szCs w:val="20"/>
                <w:color w:val="auto"/>
              </w:rPr>
            </w:pPr>
            <w:r>
              <w:rPr>
                <w:rFonts w:ascii="Arial" w:cs="Arial" w:eastAsia="Arial" w:hAnsi="Arial"/>
                <w:sz w:val="18"/>
                <w:szCs w:val="18"/>
                <w:color w:val="auto"/>
              </w:rPr>
              <w:t>of Incorporation)</w:t>
            </w:r>
          </w:p>
        </w:tc>
        <w:tc>
          <w:tcPr>
            <w:tcW w:w="3400" w:type="dxa"/>
            <w:vAlign w:val="bottom"/>
          </w:tcPr>
          <w:p>
            <w:pPr>
              <w:jc w:val="center"/>
              <w:ind w:right="70"/>
              <w:spacing w:after="0"/>
              <w:rPr>
                <w:sz w:val="20"/>
                <w:szCs w:val="20"/>
                <w:color w:val="auto"/>
              </w:rPr>
            </w:pPr>
            <w:r>
              <w:rPr>
                <w:rFonts w:ascii="Arial" w:cs="Arial" w:eastAsia="Arial" w:hAnsi="Arial"/>
                <w:sz w:val="18"/>
                <w:szCs w:val="18"/>
                <w:color w:val="auto"/>
                <w:w w:val="99"/>
              </w:rPr>
              <w:t>File Number)</w:t>
            </w:r>
          </w:p>
        </w:tc>
        <w:tc>
          <w:tcPr>
            <w:tcW w:w="2680" w:type="dxa"/>
            <w:vAlign w:val="bottom"/>
          </w:tcPr>
          <w:p>
            <w:pPr>
              <w:jc w:val="center"/>
              <w:ind w:left="1190"/>
              <w:spacing w:after="0"/>
              <w:rPr>
                <w:sz w:val="20"/>
                <w:szCs w:val="20"/>
                <w:color w:val="auto"/>
              </w:rPr>
            </w:pPr>
            <w:r>
              <w:rPr>
                <w:rFonts w:ascii="Arial" w:cs="Arial" w:eastAsia="Arial" w:hAnsi="Arial"/>
                <w:sz w:val="18"/>
                <w:szCs w:val="18"/>
                <w:color w:val="auto"/>
                <w:w w:val="99"/>
              </w:rPr>
              <w:t>Identification No.)</w:t>
            </w:r>
          </w:p>
        </w:tc>
      </w:tr>
    </w:tbl>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225 Binney Street, Cambridge, Massachusetts 02142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86" w:lineRule="exact"/>
        <w:rPr>
          <w:sz w:val="24"/>
          <w:szCs w:val="24"/>
          <w:color w:val="auto"/>
        </w:rPr>
      </w:pPr>
    </w:p>
    <w:p>
      <w:pPr>
        <w:ind w:left="29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679-2000</w:t>
      </w:r>
    </w:p>
    <w:p>
      <w:pPr>
        <w:spacing w:after="0" w:line="11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86" w:lineRule="exact"/>
        <w:rPr>
          <w:sz w:val="24"/>
          <w:szCs w:val="24"/>
          <w:color w:val="auto"/>
        </w:rPr>
      </w:pPr>
    </w:p>
    <w:p>
      <w:pPr>
        <w:ind w:right="14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right="2000" w:firstLine="8"/>
        <w:spacing w:after="0" w:line="360" w:lineRule="auto"/>
        <w:tabs>
          <w:tab w:leader="none" w:pos="33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03"/>
        </w:trPr>
        <w:tc>
          <w:tcPr>
            <w:tcW w:w="4260" w:type="dxa"/>
            <w:vAlign w:val="bottom"/>
          </w:tcPr>
          <w:p>
            <w:pPr>
              <w:jc w:val="center"/>
              <w:ind w:right="430"/>
              <w:spacing w:after="0" w:line="202" w:lineRule="exact"/>
              <w:rPr>
                <w:sz w:val="20"/>
                <w:szCs w:val="20"/>
                <w:color w:val="auto"/>
              </w:rPr>
            </w:pPr>
            <w:r>
              <w:rPr>
                <w:rFonts w:ascii="Arial" w:cs="Arial" w:eastAsia="Arial" w:hAnsi="Arial"/>
                <w:sz w:val="18"/>
                <w:szCs w:val="18"/>
                <w:b w:val="1"/>
                <w:bCs w:val="1"/>
                <w:color w:val="auto"/>
                <w:w w:val="99"/>
              </w:rPr>
              <w:t>Title of each class</w:t>
            </w:r>
          </w:p>
        </w:tc>
        <w:tc>
          <w:tcPr>
            <w:tcW w:w="292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Trading Symbol(s)</w:t>
            </w:r>
          </w:p>
        </w:tc>
        <w:tc>
          <w:tcPr>
            <w:tcW w:w="4060" w:type="dxa"/>
            <w:vAlign w:val="bottom"/>
          </w:tcPr>
          <w:p>
            <w:pPr>
              <w:jc w:val="center"/>
              <w:ind w:left="290"/>
              <w:spacing w:after="0" w:line="202" w:lineRule="exact"/>
              <w:rPr>
                <w:sz w:val="20"/>
                <w:szCs w:val="20"/>
                <w:color w:val="auto"/>
              </w:rPr>
            </w:pPr>
            <w:r>
              <w:rPr>
                <w:rFonts w:ascii="Arial" w:cs="Arial" w:eastAsia="Arial" w:hAnsi="Arial"/>
                <w:sz w:val="18"/>
                <w:szCs w:val="18"/>
                <w:b w:val="1"/>
                <w:bCs w:val="1"/>
                <w:color w:val="auto"/>
                <w:w w:val="99"/>
              </w:rPr>
              <w:t>Name of each exchange on which</w:t>
            </w:r>
          </w:p>
        </w:tc>
      </w:tr>
      <w:tr>
        <w:trPr>
          <w:trHeight w:val="221"/>
        </w:trPr>
        <w:tc>
          <w:tcPr>
            <w:tcW w:w="42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98"/>
              </w:rPr>
              <w:t>registered</w:t>
            </w:r>
          </w:p>
        </w:tc>
      </w:tr>
      <w:tr>
        <w:trPr>
          <w:trHeight w:val="232"/>
        </w:trPr>
        <w:tc>
          <w:tcPr>
            <w:tcW w:w="4260" w:type="dxa"/>
            <w:vAlign w:val="bottom"/>
          </w:tcPr>
          <w:p>
            <w:pPr>
              <w:jc w:val="center"/>
              <w:ind w:right="430"/>
              <w:spacing w:after="0"/>
              <w:rPr>
                <w:sz w:val="20"/>
                <w:szCs w:val="20"/>
                <w:color w:val="auto"/>
              </w:rPr>
            </w:pPr>
            <w:r>
              <w:rPr>
                <w:rFonts w:ascii="Arial" w:cs="Arial" w:eastAsia="Arial" w:hAnsi="Arial"/>
                <w:sz w:val="18"/>
                <w:szCs w:val="18"/>
                <w:color w:val="auto"/>
                <w:w w:val="99"/>
              </w:rPr>
              <w:t>Common Stock, $0.0005 par value per share</w:t>
            </w:r>
          </w:p>
        </w:tc>
        <w:tc>
          <w:tcPr>
            <w:tcW w:w="2920" w:type="dxa"/>
            <w:vAlign w:val="bottom"/>
          </w:tcPr>
          <w:p>
            <w:pPr>
              <w:jc w:val="center"/>
              <w:ind w:right="90"/>
              <w:spacing w:after="0"/>
              <w:rPr>
                <w:sz w:val="20"/>
                <w:szCs w:val="20"/>
                <w:color w:val="auto"/>
              </w:rPr>
            </w:pPr>
            <w:r>
              <w:rPr>
                <w:rFonts w:ascii="Arial" w:cs="Arial" w:eastAsia="Arial" w:hAnsi="Arial"/>
                <w:sz w:val="18"/>
                <w:szCs w:val="18"/>
                <w:color w:val="auto"/>
                <w:w w:val="99"/>
              </w:rPr>
              <w:t>BIIB</w:t>
            </w:r>
          </w:p>
        </w:tc>
        <w:tc>
          <w:tcPr>
            <w:tcW w:w="4060" w:type="dxa"/>
            <w:vAlign w:val="bottom"/>
          </w:tcPr>
          <w:p>
            <w:pPr>
              <w:jc w:val="center"/>
              <w:ind w:left="270"/>
              <w:spacing w:after="0"/>
              <w:rPr>
                <w:sz w:val="20"/>
                <w:szCs w:val="20"/>
                <w:color w:val="auto"/>
              </w:rPr>
            </w:pPr>
            <w:r>
              <w:rPr>
                <w:rFonts w:ascii="Arial" w:cs="Arial" w:eastAsia="Arial" w:hAnsi="Arial"/>
                <w:sz w:val="18"/>
                <w:szCs w:val="18"/>
                <w:color w:val="auto"/>
                <w:w w:val="99"/>
              </w:rPr>
              <w:t>The Nasdaq Global Select Market</w:t>
            </w:r>
          </w:p>
        </w:tc>
      </w:tr>
    </w:tbl>
    <w:p>
      <w:pPr>
        <w:spacing w:after="0" w:line="53" w:lineRule="exact"/>
        <w:rPr>
          <w:sz w:val="24"/>
          <w:szCs w:val="24"/>
          <w:color w:val="auto"/>
        </w:rPr>
      </w:pPr>
    </w:p>
    <w:p>
      <w:pPr>
        <w:jc w:val="both"/>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55" w:lineRule="exact"/>
        <w:rPr>
          <w:sz w:val="24"/>
          <w:szCs w:val="24"/>
          <w:color w:val="auto"/>
        </w:rPr>
      </w:pPr>
    </w:p>
    <w:p>
      <w:pPr>
        <w:ind w:right="20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198"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On May 14, 2026, Biogen Inc., a Delaware corporation (“Biogen”), filed a Current Report on Form 8-K (the “Original Report”) with the U.S. Securities and Exchange Commission. The Original Report disclosed, among other things, the consummation of Biogen’s acquisition of Apellis Pharmaceuticals, Inc., a Delaware corporation (“Apellis”), as contemplated by the Agreement and Plan of Merger, dated March 31, 2026, by and among Biogen, Apellis and Aspen Purchaser Sub, Inc., a Delaware corporation and a wholly owned subsidiary of Biogen (the “Merger”).</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Biogen also disclosed in the Original Report that pro forma financial information required by Item 9.01(b) of Form 8-K relating to the Merger would be filed by amendment to the Original Report no later than 71 calendar days after the date on which the Original Report was required to be filed.</w:t>
      </w:r>
    </w:p>
    <w:p>
      <w:pPr>
        <w:spacing w:after="0" w:line="155"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Subsequent to the filing of the Original Report and upon further analysis, Biogen has determined that financial statements required by Item 9.01(a) of Form 8-K and pro forma financial information required by Item 9.01(b) of Form 8-K, in each case, relating to the Merger are not required because the Merger was not a “significant” acquisition as defined in Regulation S-X. Accordingly, Biogen hereby amends the Original Report to remove references to the incorporation by reference of financial statements of Apellis under Item 9.01(a) and the subsequent filing of pro forma financial information required by Item 9.01(b), in each case, relating to the Merger.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Except as provided herein, the disclosures made in the Original Report remain unchanged.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98" w:lineRule="exact"/>
        <w:rPr>
          <w:sz w:val="20"/>
          <w:szCs w:val="20"/>
          <w:color w:val="auto"/>
        </w:rPr>
      </w:pPr>
    </w:p>
    <w:p>
      <w:pPr>
        <w:ind w:right="6940" w:firstLine="8"/>
        <w:spacing w:after="0" w:line="469" w:lineRule="auto"/>
        <w:tabs>
          <w:tab w:leader="none" w:pos="27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of businesses acquired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782" w:right="4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Biogen Inc.</w:t>
      </w:r>
    </w:p>
    <w:p>
      <w:pPr>
        <w:spacing w:after="0" w:line="200" w:lineRule="exact"/>
        <w:rPr>
          <w:sz w:val="20"/>
          <w:szCs w:val="20"/>
          <w:color w:val="auto"/>
        </w:rPr>
      </w:pPr>
    </w:p>
    <w:p>
      <w:pPr>
        <w:spacing w:after="0" w:line="20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June 10, 2026</w:t>
      </w:r>
      <w:r>
        <w:rPr>
          <w:sz w:val="20"/>
          <w:szCs w:val="20"/>
          <w:color w:val="auto"/>
        </w:rPr>
        <w:tab/>
      </w:r>
      <w:r>
        <w:rPr>
          <w:rFonts w:ascii="Arial" w:cs="Arial" w:eastAsia="Arial" w:hAnsi="Arial"/>
          <w:sz w:val="17"/>
          <w:szCs w:val="17"/>
          <w:color w:val="auto"/>
        </w:rPr>
        <w:t>By: /s/ Wendell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8890</wp:posOffset>
            </wp:positionV>
            <wp:extent cx="25374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Name:Wendell Taylor</w:t>
      </w:r>
    </w:p>
    <w:p>
      <w:pPr>
        <w:spacing w:after="0" w:line="4" w:lineRule="exact"/>
        <w:rPr>
          <w:sz w:val="20"/>
          <w:szCs w:val="20"/>
          <w:color w:val="auto"/>
        </w:rPr>
      </w:pPr>
    </w:p>
    <w:p>
      <w:pPr>
        <w:ind w:left="5900"/>
        <w:spacing w:after="0"/>
        <w:tabs>
          <w:tab w:leader="none" w:pos="6420" w:val="left"/>
        </w:tabs>
        <w:rPr>
          <w:sz w:val="20"/>
          <w:szCs w:val="20"/>
          <w:color w:val="auto"/>
        </w:rPr>
      </w:pPr>
      <w:r>
        <w:rPr>
          <w:rFonts w:ascii="Arial" w:cs="Arial" w:eastAsia="Arial" w:hAnsi="Arial"/>
          <w:sz w:val="18"/>
          <w:szCs w:val="18"/>
          <w:color w:val="auto"/>
        </w:rPr>
        <w:t>Title:</w:t>
        <w:tab/>
        <w:t>Secretary</w:t>
      </w:r>
    </w:p>
    <w:sectPr>
      <w:pgSz w:w="11900" w:h="16838" w:orient="portrait"/>
      <w:cols w:equalWidth="0" w:num="1">
        <w:col w:w="11200"/>
      </w:cols>
      <w:pgMar w:left="320" w:top="5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2026-06-10T15:58:29Z</dcterms:created>
  <dcterms:modified xsi:type="dcterms:W3CDTF">2026-06-10T15:58:29Z</dcterms:modified>
</cp:coreProperties>
</file>