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580" w:right="1680" w:hanging="554"/>
        <w:spacing w:after="0" w:line="237" w:lineRule="auto"/>
        <w:tabs>
          <w:tab w:leader="none" w:pos="652"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 w:lineRule="exact"/>
        <w:rPr>
          <w:sz w:val="24"/>
          <w:szCs w:val="24"/>
          <w:color w:val="auto"/>
        </w:rPr>
      </w:pPr>
    </w:p>
    <w:p>
      <w:pPr>
        <w:ind w:left="4180" w:right="1600" w:hanging="4055"/>
        <w:spacing w:after="0" w:line="290" w:lineRule="auto"/>
        <w:tabs>
          <w:tab w:leader="none" w:pos="381"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-49530</wp:posOffset>
            </wp:positionV>
            <wp:extent cx="109728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3600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BIOGEN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jc w:val="center"/>
              <w:ind w:left="553"/>
              <w:spacing w:after="0"/>
              <w:rPr>
                <w:sz w:val="20"/>
                <w:szCs w:val="20"/>
                <w:color w:val="auto"/>
              </w:rPr>
            </w:pPr>
            <w:r>
              <w:rPr>
                <w:rFonts w:ascii="Arial" w:cs="Arial" w:eastAsia="Arial" w:hAnsi="Arial"/>
                <w:sz w:val="18"/>
                <w:szCs w:val="18"/>
                <w:b w:val="1"/>
                <w:bCs w:val="1"/>
                <w:color w:val="auto"/>
                <w:w w:val="98"/>
              </w:rPr>
              <w:t>Delaware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jc w:val="right"/>
              <w:ind w:right="1575"/>
              <w:spacing w:after="0"/>
              <w:rPr>
                <w:sz w:val="20"/>
                <w:szCs w:val="20"/>
                <w:color w:val="auto"/>
              </w:rPr>
            </w:pPr>
            <w:r>
              <w:rPr>
                <w:rFonts w:ascii="Arial" w:cs="Arial" w:eastAsia="Arial" w:hAnsi="Arial"/>
                <w:sz w:val="18"/>
                <w:szCs w:val="18"/>
                <w:b w:val="1"/>
                <w:bCs w:val="1"/>
                <w:color w:val="auto"/>
              </w:rPr>
              <w:t>33-0112644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0"/>
        </w:trPr>
        <w:tc>
          <w:tcPr>
            <w:tcW w:w="320" w:type="dxa"/>
            <w:vAlign w:val="bottom"/>
          </w:tcPr>
          <w:p>
            <w:pPr>
              <w:spacing w:after="0"/>
              <w:rPr>
                <w:sz w:val="16"/>
                <w:szCs w:val="16"/>
                <w:color w:val="auto"/>
              </w:rPr>
            </w:pPr>
          </w:p>
        </w:tc>
        <w:tc>
          <w:tcPr>
            <w:tcW w:w="6160" w:type="dxa"/>
            <w:vAlign w:val="bottom"/>
            <w:gridSpan w:val="7"/>
          </w:tcPr>
          <w:p>
            <w:pPr>
              <w:jc w:val="center"/>
              <w:ind w:right="1220"/>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4100" w:type="dxa"/>
            <w:vAlign w:val="bottom"/>
          </w:tcPr>
          <w:p>
            <w:pPr>
              <w:jc w:val="center"/>
              <w:ind w:right="75"/>
              <w:spacing w:after="0"/>
              <w:rPr>
                <w:sz w:val="20"/>
                <w:szCs w:val="20"/>
                <w:color w:val="auto"/>
              </w:rPr>
            </w:pPr>
            <w:r>
              <w:rPr>
                <w:rFonts w:ascii="Arial" w:cs="Arial" w:eastAsia="Arial" w:hAnsi="Arial"/>
                <w:sz w:val="14"/>
                <w:szCs w:val="14"/>
                <w:i w:val="1"/>
                <w:iCs w:val="1"/>
                <w:color w:val="auto"/>
              </w:rPr>
              <w:t>(I.R.S. Employer Identification No.)</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6"/>
        </w:trPr>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800" w:type="dxa"/>
            <w:vAlign w:val="bottom"/>
            <w:gridSpan w:val="6"/>
          </w:tcPr>
          <w:p>
            <w:pPr>
              <w:jc w:val="center"/>
              <w:ind w:right="3035"/>
              <w:spacing w:after="0"/>
              <w:rPr>
                <w:sz w:val="20"/>
                <w:szCs w:val="20"/>
                <w:color w:val="auto"/>
              </w:rPr>
            </w:pPr>
            <w:r>
              <w:rPr>
                <w:rFonts w:ascii="Arial" w:cs="Arial" w:eastAsia="Arial" w:hAnsi="Arial"/>
                <w:sz w:val="18"/>
                <w:szCs w:val="18"/>
                <w:b w:val="1"/>
                <w:bCs w:val="1"/>
                <w:color w:val="auto"/>
                <w:w w:val="99"/>
              </w:rPr>
              <w:t>225 Binney Street, Cambridge, MA 02142</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rPr>
              <w:t>(617) 679-2000</w:t>
            </w: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80"/>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20" w:type="dxa"/>
            <w:vAlign w:val="bottom"/>
            <w:gridSpan w:val="7"/>
          </w:tcPr>
          <w:p>
            <w:pPr>
              <w:jc w:val="center"/>
              <w:ind w:right="415"/>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9"/>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20" w:type="dxa"/>
            <w:vAlign w:val="bottom"/>
            <w:gridSpan w:val="7"/>
          </w:tcPr>
          <w:p>
            <w:pPr>
              <w:jc w:val="center"/>
              <w:ind w:right="395"/>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jc w:val="center"/>
              <w:ind w:right="373"/>
              <w:spacing w:after="0"/>
              <w:rPr>
                <w:sz w:val="20"/>
                <w:szCs w:val="20"/>
                <w:color w:val="auto"/>
              </w:rPr>
            </w:pPr>
            <w:r>
              <w:rPr>
                <w:rFonts w:ascii="Arial" w:cs="Arial" w:eastAsia="Arial" w:hAnsi="Arial"/>
                <w:sz w:val="18"/>
                <w:szCs w:val="18"/>
                <w:b w:val="1"/>
                <w:bCs w:val="1"/>
                <w:color w:val="auto"/>
                <w:w w:val="99"/>
              </w:rPr>
              <w:t>Title of Each Class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Trading Symbol(s)</w:t>
            </w:r>
          </w:p>
        </w:tc>
        <w:tc>
          <w:tcPr>
            <w:tcW w:w="4100" w:type="dxa"/>
            <w:vAlign w:val="bottom"/>
          </w:tcPr>
          <w:p>
            <w:pPr>
              <w:ind w:left="240"/>
              <w:spacing w:after="0"/>
              <w:rPr>
                <w:sz w:val="20"/>
                <w:szCs w:val="20"/>
                <w:color w:val="auto"/>
              </w:rPr>
            </w:pPr>
            <w:r>
              <w:rPr>
                <w:rFonts w:ascii="Arial" w:cs="Arial" w:eastAsia="Arial" w:hAnsi="Arial"/>
                <w:sz w:val="18"/>
                <w:szCs w:val="18"/>
                <w:b w:val="1"/>
                <w:bCs w:val="1"/>
                <w:color w:val="auto"/>
              </w:rPr>
              <w:t>Name of Each Exchange Where Registered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320" w:type="dxa"/>
            <w:vAlign w:val="bottom"/>
          </w:tcPr>
          <w:p>
            <w:pPr>
              <w:spacing w:after="0"/>
              <w:rPr>
                <w:sz w:val="20"/>
                <w:szCs w:val="20"/>
                <w:color w:val="auto"/>
              </w:rPr>
            </w:pPr>
          </w:p>
        </w:tc>
        <w:tc>
          <w:tcPr>
            <w:tcW w:w="3460" w:type="dxa"/>
            <w:vAlign w:val="bottom"/>
            <w:tcBorders>
              <w:top w:val="single" w:sz="8" w:color="auto"/>
            </w:tcBorders>
            <w:gridSpan w:val="2"/>
          </w:tcPr>
          <w:p>
            <w:pPr>
              <w:jc w:val="center"/>
              <w:ind w:left="295"/>
              <w:spacing w:after="0"/>
              <w:rPr>
                <w:sz w:val="20"/>
                <w:szCs w:val="20"/>
                <w:color w:val="auto"/>
              </w:rPr>
            </w:pPr>
            <w:r>
              <w:rPr>
                <w:rFonts w:ascii="Arial" w:cs="Arial" w:eastAsia="Arial" w:hAnsi="Arial"/>
                <w:sz w:val="18"/>
                <w:szCs w:val="18"/>
                <w:b w:val="1"/>
                <w:bCs w:val="1"/>
                <w:color w:val="auto"/>
              </w:rPr>
              <w:t>Common Stock, $0.0005 par value</w:t>
            </w: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BIIB</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The Nasdaq Global Select Market</w:t>
            </w:r>
          </w:p>
        </w:tc>
        <w:tc>
          <w:tcPr>
            <w:tcW w:w="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20" w:type="dxa"/>
            <w:vAlign w:val="bottom"/>
            <w:gridSpan w:val="7"/>
          </w:tcPr>
          <w:p>
            <w:pPr>
              <w:jc w:val="center"/>
              <w:ind w:right="395"/>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7"/>
              </w:rPr>
              <w:t>None</w:t>
            </w: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0260" w:type="dxa"/>
            <w:vAlign w:val="bottom"/>
            <w:gridSpan w:val="8"/>
          </w:tcPr>
          <w:p>
            <w:pPr>
              <w:ind w:left="1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94"/>
              </w:rPr>
              <w:t>No o</w:t>
            </w:r>
          </w:p>
        </w:tc>
      </w:tr>
      <w:tr>
        <w:trPr>
          <w:trHeight w:val="215"/>
        </w:trPr>
        <w:tc>
          <w:tcPr>
            <w:tcW w:w="320" w:type="dxa"/>
            <w:vAlign w:val="bottom"/>
          </w:tcPr>
          <w:p>
            <w:pPr>
              <w:spacing w:after="0"/>
              <w:rPr>
                <w:sz w:val="18"/>
                <w:szCs w:val="18"/>
                <w:color w:val="auto"/>
              </w:rPr>
            </w:pPr>
          </w:p>
        </w:tc>
        <w:tc>
          <w:tcPr>
            <w:tcW w:w="10260" w:type="dxa"/>
            <w:vAlign w:val="bottom"/>
            <w:gridSpan w:val="8"/>
          </w:tcPr>
          <w:p>
            <w:pPr>
              <w:ind w:left="1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7"/>
        </w:trPr>
        <w:tc>
          <w:tcPr>
            <w:tcW w:w="1160" w:type="dxa"/>
            <w:vAlign w:val="bottom"/>
            <w:gridSpan w:val="2"/>
          </w:tcPr>
          <w:p>
            <w:pPr>
              <w:spacing w:after="0"/>
              <w:rPr>
                <w:sz w:val="20"/>
                <w:szCs w:val="20"/>
                <w:color w:val="auto"/>
              </w:rPr>
            </w:pPr>
            <w:r>
              <w:rPr>
                <w:rFonts w:ascii="Arial" w:cs="Arial" w:eastAsia="Arial" w:hAnsi="Arial"/>
                <w:sz w:val="18"/>
                <w:szCs w:val="18"/>
                <w:color w:val="auto"/>
              </w:rPr>
              <w:t>Act.  Yes o</w:t>
            </w:r>
          </w:p>
        </w:tc>
        <w:tc>
          <w:tcPr>
            <w:tcW w:w="2620" w:type="dxa"/>
            <w:vAlign w:val="bottom"/>
          </w:tcPr>
          <w:p>
            <w:pPr>
              <w:ind w:left="200"/>
              <w:spacing w:after="0"/>
              <w:rPr>
                <w:sz w:val="20"/>
                <w:szCs w:val="20"/>
                <w:color w:val="auto"/>
              </w:rPr>
            </w:pPr>
            <w:r>
              <w:rPr>
                <w:rFonts w:ascii="Arial" w:cs="Arial" w:eastAsia="Arial" w:hAnsi="Arial"/>
                <w:sz w:val="18"/>
                <w:szCs w:val="18"/>
                <w:color w:val="auto"/>
              </w:rPr>
              <w:t>No x</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6" w:lineRule="exact"/>
        <w:rPr>
          <w:sz w:val="24"/>
          <w:szCs w:val="24"/>
          <w:color w:val="auto"/>
        </w:rPr>
      </w:pPr>
    </w:p>
    <w:p>
      <w:pPr>
        <w:ind w:right="240" w:firstLine="445"/>
        <w:spacing w:after="0" w:line="21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7" w:lineRule="exact"/>
        <w:rPr>
          <w:sz w:val="24"/>
          <w:szCs w:val="24"/>
          <w:color w:val="auto"/>
        </w:rPr>
      </w:pPr>
    </w:p>
    <w:p>
      <w:pPr>
        <w:ind w:firstLine="445"/>
        <w:spacing w:after="0" w:line="215"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w:t>
      </w:r>
    </w:p>
    <w:p>
      <w:pPr>
        <w:spacing w:after="0" w:line="1" w:lineRule="exact"/>
        <w:rPr>
          <w:sz w:val="24"/>
          <w:szCs w:val="24"/>
          <w:color w:val="auto"/>
        </w:rPr>
      </w:pPr>
    </w:p>
    <w:p>
      <w:pPr>
        <w:spacing w:after="0"/>
        <w:tabs>
          <w:tab w:leader="none" w:pos="2540" w:val="left"/>
          <w:tab w:leader="none" w:pos="3360" w:val="left"/>
        </w:tabs>
        <w:rPr>
          <w:sz w:val="20"/>
          <w:szCs w:val="20"/>
          <w:color w:val="auto"/>
        </w:rPr>
      </w:pPr>
      <w:r>
        <w:rPr>
          <w:rFonts w:ascii="Arial" w:cs="Arial" w:eastAsia="Arial" w:hAnsi="Arial"/>
          <w:sz w:val="18"/>
          <w:szCs w:val="18"/>
          <w:color w:val="auto"/>
        </w:rPr>
        <w:t>required to submit such files).</w:t>
        <w:tab/>
        <w:t>Yes x</w:t>
      </w:r>
      <w:r>
        <w:rPr>
          <w:sz w:val="20"/>
          <w:szCs w:val="20"/>
          <w:color w:val="auto"/>
        </w:rPr>
        <w:tab/>
      </w:r>
      <w:r>
        <w:rPr>
          <w:rFonts w:ascii="Arial" w:cs="Arial" w:eastAsia="Arial" w:hAnsi="Arial"/>
          <w:sz w:val="17"/>
          <w:szCs w:val="17"/>
          <w:color w:val="auto"/>
        </w:rPr>
        <w:t>No o</w:t>
      </w:r>
    </w:p>
    <w:p>
      <w:pPr>
        <w:spacing w:after="0" w:line="50" w:lineRule="exact"/>
        <w:rPr>
          <w:sz w:val="24"/>
          <w:szCs w:val="24"/>
          <w:color w:val="auto"/>
        </w:rPr>
      </w:pPr>
    </w:p>
    <w:p>
      <w:pPr>
        <w:ind w:right="420" w:firstLine="445"/>
        <w:spacing w:after="0" w:line="21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x</w:t>
      </w:r>
    </w:p>
    <w:p>
      <w:pPr>
        <w:sectPr>
          <w:pgSz w:w="11900" w:h="16838" w:orient="portrait"/>
          <w:cols w:equalWidth="0" w:num="1">
            <w:col w:w="11220"/>
          </w:cols>
          <w:pgMar w:left="320" w:top="879" w:right="359" w:bottom="1440" w:gutter="0" w:footer="0" w:header="0"/>
        </w:sectPr>
      </w:pPr>
    </w:p>
    <w:p>
      <w:pPr>
        <w:spacing w:after="0" w:line="135" w:lineRule="exact"/>
        <w:rPr>
          <w:sz w:val="24"/>
          <w:szCs w:val="24"/>
          <w:color w:val="auto"/>
        </w:rPr>
      </w:pPr>
    </w:p>
    <w:p>
      <w:pPr>
        <w:ind w:left="20" w:right="200"/>
        <w:spacing w:after="0" w:line="357"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860"/>
        <w:spacing w:after="0" w:line="230"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pacing w:after="0" w:line="230"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ind w:left="20"/>
        <w:spacing w:after="0" w:line="230"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20"/>
          <w:szCs w:val="20"/>
          <w:color w:val="auto"/>
        </w:rPr>
        <w:t>☐</w:t>
      </w:r>
    </w:p>
    <w:p>
      <w:pPr>
        <w:spacing w:after="0" w:line="113" w:lineRule="exact"/>
        <w:rPr>
          <w:sz w:val="24"/>
          <w:szCs w:val="24"/>
          <w:color w:val="auto"/>
        </w:rPr>
      </w:pPr>
    </w:p>
    <w:p>
      <w:pPr>
        <w:sectPr>
          <w:pgSz w:w="11900" w:h="16838" w:orient="portrait"/>
          <w:cols w:equalWidth="0" w:num="3">
            <w:col w:w="2000" w:space="720"/>
            <w:col w:w="5260" w:space="720"/>
            <w:col w:w="2520"/>
          </w:cols>
          <w:pgMar w:left="320" w:top="879" w:right="359" w:bottom="1440" w:gutter="0" w:footer="0" w:header="0"/>
          <w:type w:val="continuous"/>
        </w:sectPr>
      </w:pPr>
    </w:p>
    <w:p>
      <w:pPr>
        <w:ind w:right="600" w:firstLine="44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right="40" w:firstLine="405"/>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tabs>
          <w:tab w:leader="none" w:pos="8780" w:val="left"/>
          <w:tab w:leader="none" w:pos="96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42" w:lineRule="exact"/>
        <w:rPr>
          <w:sz w:val="24"/>
          <w:szCs w:val="24"/>
          <w:color w:val="auto"/>
        </w:rPr>
      </w:pPr>
    </w:p>
    <w:p>
      <w:pPr>
        <w:ind w:right="20" w:firstLine="445"/>
        <w:spacing w:after="0" w:line="219"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$42,102,640,463.</w:t>
      </w:r>
    </w:p>
    <w:p>
      <w:pPr>
        <w:spacing w:after="0" w:line="1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 2021, the registrant had 152,335,731 shares of common stock, $0.0005 par value, outstanding.</w:t>
      </w:r>
    </w:p>
    <w:p>
      <w:pPr>
        <w:spacing w:after="0" w:line="1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35" w:lineRule="exact"/>
        <w:rPr>
          <w:sz w:val="24"/>
          <w:szCs w:val="24"/>
          <w:color w:val="auto"/>
        </w:rPr>
      </w:pPr>
    </w:p>
    <w:p>
      <w:pPr>
        <w:ind w:right="40" w:firstLine="445"/>
        <w:spacing w:after="0" w:line="227" w:lineRule="auto"/>
        <w:rPr>
          <w:sz w:val="20"/>
          <w:szCs w:val="20"/>
          <w:color w:val="auto"/>
        </w:rPr>
      </w:pPr>
      <w:r>
        <w:rPr>
          <w:rFonts w:ascii="Arial" w:cs="Arial" w:eastAsia="Arial" w:hAnsi="Arial"/>
          <w:sz w:val="18"/>
          <w:szCs w:val="18"/>
          <w:color w:val="auto"/>
        </w:rPr>
        <w:t>Portions of the definitive proxy statement for our 2021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BIOGEN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For the Year Ended December 31,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60" w:type="dxa"/>
            <w:vAlign w:val="bottom"/>
            <w:gridSpan w:val="2"/>
            <w:vMerge w:val="restart"/>
          </w:tcPr>
          <w:p>
            <w:pPr>
              <w:jc w:val="center"/>
              <w:ind w:right="240"/>
              <w:spacing w:after="0"/>
              <w:rPr>
                <w:rFonts w:ascii="Arial" w:cs="Arial" w:eastAsia="Arial" w:hAnsi="Arial"/>
                <w:sz w:val="18"/>
                <w:szCs w:val="18"/>
                <w:b w:val="1"/>
                <w:bCs w:val="1"/>
                <w:u w:val="single" w:color="auto"/>
                <w:color w:val="0000FF"/>
                <w:w w:val="98"/>
              </w:rPr>
            </w:pPr>
            <w:hyperlink w:anchor="page4">
              <w:r>
                <w:rPr>
                  <w:rFonts w:ascii="Arial" w:cs="Arial" w:eastAsia="Arial" w:hAnsi="Arial"/>
                  <w:sz w:val="18"/>
                  <w:szCs w:val="18"/>
                  <w:b w:val="1"/>
                  <w:bCs w:val="1"/>
                  <w:u w:val="single" w:color="auto"/>
                  <w:color w:val="0000FF"/>
                  <w:w w:val="98"/>
                </w:rPr>
                <w:t>PART I</w:t>
              </w:r>
            </w:hyperlink>
          </w:p>
        </w:tc>
        <w:tc>
          <w:tcPr>
            <w:tcW w:w="1680" w:type="dxa"/>
            <w:vAlign w:val="bottom"/>
            <w:gridSpan w:val="4"/>
          </w:tcPr>
          <w:p>
            <w:pPr>
              <w:ind w:left="6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60" w:type="dxa"/>
            <w:vAlign w:val="bottom"/>
            <w:gridSpan w:val="2"/>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1A.</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Risk Factors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1B.</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Unresolved Staff Comments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Properties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3.</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Legal Proceedings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4.</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Mine Safety Disclosures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48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60" w:type="dxa"/>
            <w:vAlign w:val="bottom"/>
            <w:gridSpan w:val="2"/>
          </w:tcPr>
          <w:p>
            <w:pPr>
              <w:jc w:val="center"/>
              <w:ind w:right="240"/>
              <w:spacing w:after="0"/>
              <w:rPr>
                <w:rFonts w:ascii="Arial" w:cs="Arial" w:eastAsia="Arial" w:hAnsi="Arial"/>
                <w:sz w:val="18"/>
                <w:szCs w:val="18"/>
                <w:b w:val="1"/>
                <w:bCs w:val="1"/>
                <w:u w:val="single" w:color="auto"/>
                <w:color w:val="0000FF"/>
                <w:w w:val="96"/>
              </w:rPr>
            </w:pPr>
            <w:hyperlink w:anchor="page52">
              <w:r>
                <w:rPr>
                  <w:rFonts w:ascii="Arial" w:cs="Arial" w:eastAsia="Arial" w:hAnsi="Arial"/>
                  <w:sz w:val="18"/>
                  <w:szCs w:val="18"/>
                  <w:b w:val="1"/>
                  <w:bCs w:val="1"/>
                  <w:u w:val="single" w:color="auto"/>
                  <w:color w:val="0000FF"/>
                  <w:w w:val="96"/>
                </w:rPr>
                <w:t>PART II</w:t>
              </w:r>
            </w:hyperlink>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20" w:type="dxa"/>
            <w:vAlign w:val="bottom"/>
          </w:tcPr>
          <w:p>
            <w:pPr>
              <w:ind w:left="20"/>
              <w:spacing w:after="0" w:line="189" w:lineRule="exact"/>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5.</w:t>
              </w:r>
            </w:hyperlink>
          </w:p>
        </w:tc>
        <w:tc>
          <w:tcPr>
            <w:tcW w:w="8440" w:type="dxa"/>
            <w:vAlign w:val="bottom"/>
            <w:gridSpan w:val="3"/>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Market for Registrant’s Common Equity, Related Stockholder Matters and Issuer Purchases of Equity</w:t>
              </w:r>
            </w:hyperlink>
          </w:p>
        </w:tc>
        <w:tc>
          <w:tcPr>
            <w:tcW w:w="1660" w:type="dxa"/>
            <w:vAlign w:val="bottom"/>
            <w:gridSpan w:val="3"/>
            <w:vMerge w:val="restart"/>
          </w:tcPr>
          <w:p>
            <w:pPr>
              <w:jc w:val="right"/>
              <w:ind w:righ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49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0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Securities</w:t>
              </w:r>
            </w:hyperlink>
          </w:p>
        </w:tc>
        <w:tc>
          <w:tcPr>
            <w:tcW w:w="40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6.</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Selected Financial Data</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7.</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Management’s Discussion and Analysis of Financial Condition and Results of Operations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7A.</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Quantitative and Qualitative Disclosures About Market Risk</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80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8.</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Financial Statements and Supplementary Data</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9.</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Changes in and Disagreements with Accountants on Accounting and Financial Disclosure</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9A.</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Controls and Procedures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9B.</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Other Information</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60" w:type="dxa"/>
            <w:vAlign w:val="bottom"/>
            <w:gridSpan w:val="2"/>
          </w:tcPr>
          <w:p>
            <w:pPr>
              <w:jc w:val="center"/>
              <w:ind w:right="240"/>
              <w:spacing w:after="0"/>
              <w:rPr>
                <w:rFonts w:ascii="Arial" w:cs="Arial" w:eastAsia="Arial" w:hAnsi="Arial"/>
                <w:sz w:val="18"/>
                <w:szCs w:val="18"/>
                <w:b w:val="1"/>
                <w:bCs w:val="1"/>
                <w:u w:val="single" w:color="auto"/>
                <w:color w:val="0000FF"/>
                <w:w w:val="95"/>
              </w:rPr>
            </w:pPr>
            <w:hyperlink w:anchor="page87">
              <w:r>
                <w:rPr>
                  <w:rFonts w:ascii="Arial" w:cs="Arial" w:eastAsia="Arial" w:hAnsi="Arial"/>
                  <w:sz w:val="18"/>
                  <w:szCs w:val="18"/>
                  <w:b w:val="1"/>
                  <w:bCs w:val="1"/>
                  <w:u w:val="single" w:color="auto"/>
                  <w:color w:val="0000FF"/>
                  <w:w w:val="95"/>
                </w:rPr>
                <w:t>PART III</w:t>
              </w:r>
            </w:hyperlink>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color w:val="0000FF"/>
              </w:rPr>
            </w:pPr>
            <w:hyperlink w:anchor="page88">
              <w:r>
                <w:rPr>
                  <w:rFonts w:ascii="Arial" w:cs="Arial" w:eastAsia="Arial" w:hAnsi="Arial"/>
                  <w:sz w:val="18"/>
                  <w:szCs w:val="18"/>
                  <w:u w:val="single" w:color="auto"/>
                  <w:color w:val="0000FF"/>
                </w:rPr>
                <w:t>Item 10</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Directors, Executive Officers and Corporate Governance</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color w:val="0000FF"/>
              </w:rPr>
            </w:pPr>
            <w:hyperlink w:anchor="page88">
              <w:r>
                <w:rPr>
                  <w:rFonts w:ascii="Arial" w:cs="Arial" w:eastAsia="Arial" w:hAnsi="Arial"/>
                  <w:sz w:val="18"/>
                  <w:szCs w:val="18"/>
                  <w:u w:val="single" w:color="auto"/>
                  <w:color w:val="0000FF"/>
                </w:rPr>
                <w:t>Item 11</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Executive Compensation</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color w:val="0000FF"/>
              </w:rPr>
            </w:pPr>
            <w:hyperlink w:anchor="page88">
              <w:r>
                <w:rPr>
                  <w:rFonts w:ascii="Arial" w:cs="Arial" w:eastAsia="Arial" w:hAnsi="Arial"/>
                  <w:sz w:val="18"/>
                  <w:szCs w:val="18"/>
                  <w:u w:val="single" w:color="auto"/>
                  <w:color w:val="0000FF"/>
                </w:rPr>
                <w:t>Item 12</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Security Ownership of Certain Beneficial Owners and Management and Related Stockholder Matters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color w:val="0000FF"/>
              </w:rPr>
            </w:pPr>
            <w:hyperlink w:anchor="page88">
              <w:r>
                <w:rPr>
                  <w:rFonts w:ascii="Arial" w:cs="Arial" w:eastAsia="Arial" w:hAnsi="Arial"/>
                  <w:sz w:val="18"/>
                  <w:szCs w:val="18"/>
                  <w:u w:val="single" w:color="auto"/>
                  <w:color w:val="0000FF"/>
                </w:rPr>
                <w:t>Item 13</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Certain Relationships and Related Transactions, and Director Independence</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color w:val="0000FF"/>
              </w:rPr>
            </w:pPr>
            <w:hyperlink w:anchor="page88">
              <w:r>
                <w:rPr>
                  <w:rFonts w:ascii="Arial" w:cs="Arial" w:eastAsia="Arial" w:hAnsi="Arial"/>
                  <w:sz w:val="18"/>
                  <w:szCs w:val="18"/>
                  <w:u w:val="single" w:color="auto"/>
                  <w:color w:val="0000FF"/>
                </w:rPr>
                <w:t>Item 14</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Principal Accountant Fees and Services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60" w:type="dxa"/>
            <w:vAlign w:val="bottom"/>
            <w:gridSpan w:val="2"/>
          </w:tcPr>
          <w:p>
            <w:pPr>
              <w:jc w:val="center"/>
              <w:ind w:right="240"/>
              <w:spacing w:after="0"/>
              <w:rPr>
                <w:rFonts w:ascii="Arial" w:cs="Arial" w:eastAsia="Arial" w:hAnsi="Arial"/>
                <w:sz w:val="18"/>
                <w:szCs w:val="18"/>
                <w:b w:val="1"/>
                <w:bCs w:val="1"/>
                <w:u w:val="single" w:color="auto"/>
                <w:color w:val="0000FF"/>
                <w:w w:val="98"/>
              </w:rPr>
            </w:pPr>
            <w:hyperlink w:anchor="page88">
              <w:r>
                <w:rPr>
                  <w:rFonts w:ascii="Arial" w:cs="Arial" w:eastAsia="Arial" w:hAnsi="Arial"/>
                  <w:sz w:val="18"/>
                  <w:szCs w:val="18"/>
                  <w:b w:val="1"/>
                  <w:bCs w:val="1"/>
                  <w:u w:val="single" w:color="auto"/>
                  <w:color w:val="0000FF"/>
                  <w:w w:val="98"/>
                </w:rPr>
                <w:t>PART IV</w:t>
              </w:r>
            </w:hyperlink>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rFonts w:ascii="Arial" w:cs="Arial" w:eastAsia="Arial" w:hAnsi="Arial"/>
                <w:sz w:val="18"/>
                <w:szCs w:val="18"/>
                <w:color w:val="0000FF"/>
              </w:rPr>
            </w:pPr>
            <w:hyperlink w:anchor="page89">
              <w:r>
                <w:rPr>
                  <w:rFonts w:ascii="Arial" w:cs="Arial" w:eastAsia="Arial" w:hAnsi="Arial"/>
                  <w:sz w:val="18"/>
                  <w:szCs w:val="18"/>
                  <w:u w:val="single" w:color="auto"/>
                  <w:color w:val="0000FF"/>
                </w:rPr>
                <w:t>Item 15</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Exhibits and Financial Statement Schedules</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rFonts w:ascii="Arial" w:cs="Arial" w:eastAsia="Arial" w:hAnsi="Arial"/>
                <w:sz w:val="18"/>
                <w:szCs w:val="18"/>
                <w:color w:val="0000FF"/>
              </w:rPr>
            </w:pPr>
            <w:hyperlink w:anchor="page89">
              <w:r>
                <w:rPr>
                  <w:rFonts w:ascii="Arial" w:cs="Arial" w:eastAsia="Arial" w:hAnsi="Arial"/>
                  <w:sz w:val="18"/>
                  <w:szCs w:val="18"/>
                  <w:u w:val="single" w:color="auto"/>
                  <w:color w:val="0000FF"/>
                </w:rPr>
                <w:t>Item 16</w:t>
              </w:r>
              <w:r>
                <w:rPr>
                  <w:rFonts w:ascii="Arial" w:cs="Arial" w:eastAsia="Arial" w:hAnsi="Arial"/>
                  <w:sz w:val="18"/>
                  <w:szCs w:val="18"/>
                  <w:color w:val="0000FF"/>
                </w:rPr>
                <w:t>.</w:t>
              </w:r>
            </w:hyperlink>
          </w:p>
        </w:tc>
        <w:tc>
          <w:tcPr>
            <w:tcW w:w="8440" w:type="dxa"/>
            <w:vAlign w:val="bottom"/>
            <w:gridSpan w:val="3"/>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Form 10-K Summary</w:t>
              </w:r>
            </w:hyperlink>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120" w:type="dxa"/>
            <w:vAlign w:val="bottom"/>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Signatures</w:t>
              </w:r>
            </w:hyperlink>
          </w:p>
        </w:tc>
        <w:tc>
          <w:tcPr>
            <w:tcW w:w="7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3"/>
          </w:tcPr>
          <w:p>
            <w:pPr>
              <w:jc w:val="right"/>
              <w:ind w:righ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89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560" w:type="dxa"/>
            <w:vAlign w:val="bottom"/>
            <w:gridSpan w:val="4"/>
          </w:tcPr>
          <w:p>
            <w:pPr>
              <w:ind w:left="20"/>
              <w:spacing w:after="0" w:line="189" w:lineRule="exact"/>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Consolidated Financial Statements</w:t>
              </w:r>
            </w:hyperlink>
          </w:p>
        </w:tc>
        <w:tc>
          <w:tcPr>
            <w:tcW w:w="1680" w:type="dxa"/>
            <w:vAlign w:val="bottom"/>
            <w:gridSpan w:val="4"/>
          </w:tcPr>
          <w:p>
            <w:pPr>
              <w:ind w:left="1320"/>
              <w:spacing w:after="0" w:line="189" w:lineRule="exact"/>
              <w:rPr>
                <w:rFonts w:ascii="Arial" w:cs="Arial" w:eastAsia="Arial" w:hAnsi="Arial"/>
                <w:sz w:val="18"/>
                <w:szCs w:val="18"/>
                <w:color w:val="0000FF"/>
              </w:rPr>
            </w:pPr>
            <w:r>
              <w:rPr>
                <w:rFonts w:ascii="Arial" w:cs="Arial" w:eastAsia="Arial" w:hAnsi="Arial"/>
                <w:sz w:val="18"/>
                <w:szCs w:val="18"/>
                <w:color w:val="0000FF"/>
              </w:rPr>
              <w:t xml:space="preserve">F- </w:t>
            </w:r>
            <w:hyperlink w:anchor="page9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1270"/>
        </w:trPr>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FORWARD-LOOKING STATEMENTS</w:t>
      </w:r>
    </w:p>
    <w:p>
      <w:pPr>
        <w:spacing w:after="0" w:line="103"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124" w:lineRule="exact"/>
        <w:rPr>
          <w:sz w:val="20"/>
          <w:szCs w:val="20"/>
          <w:color w:val="auto"/>
        </w:rPr>
      </w:pPr>
    </w:p>
    <w:p>
      <w:pPr>
        <w:ind w:left="420" w:hanging="331"/>
        <w:spacing w:after="0" w:line="273"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revenues;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expenses; amortization of intangible assets; foreign currency exchange risk; estimated fair value of assets and liabilities; and impairment assessments;</w:t>
      </w:r>
    </w:p>
    <w:p>
      <w:pPr>
        <w:spacing w:after="0" w:line="96" w:lineRule="exact"/>
        <w:rPr>
          <w:rFonts w:ascii="Arial" w:cs="Arial" w:eastAsia="Arial" w:hAnsi="Arial"/>
          <w:sz w:val="17"/>
          <w:szCs w:val="17"/>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sales, pricing, growth and launch of our marketed and pipeline products;</w:t>
      </w:r>
    </w:p>
    <w:p>
      <w:pPr>
        <w:spacing w:after="0" w:line="130" w:lineRule="exact"/>
        <w:rPr>
          <w:rFonts w:ascii="Arial" w:cs="Arial" w:eastAsia="Arial" w:hAnsi="Arial"/>
          <w:sz w:val="18"/>
          <w:szCs w:val="18"/>
          <w:color w:val="auto"/>
        </w:rPr>
      </w:pPr>
    </w:p>
    <w:p>
      <w:pPr>
        <w:ind w:left="420" w:right="36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w:t>
      </w:r>
    </w:p>
    <w:p>
      <w:pPr>
        <w:spacing w:after="0" w:line="12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core and emerging growth areas as well as implementation of our corporate strategy;</w:t>
      </w:r>
    </w:p>
    <w:p>
      <w:pPr>
        <w:spacing w:after="0" w:line="130" w:lineRule="exact"/>
        <w:rPr>
          <w:rFonts w:ascii="Arial" w:cs="Arial" w:eastAsia="Arial" w:hAnsi="Arial"/>
          <w:sz w:val="18"/>
          <w:szCs w:val="18"/>
          <w:color w:val="auto"/>
        </w:rPr>
      </w:pPr>
    </w:p>
    <w:p>
      <w:pPr>
        <w:ind w:left="420" w:right="68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as well as the potential benefits and results of certain business development transactions;</w:t>
      </w:r>
    </w:p>
    <w:p>
      <w:pPr>
        <w:spacing w:after="0" w:line="120" w:lineRule="exact"/>
        <w:rPr>
          <w:rFonts w:ascii="Arial" w:cs="Arial" w:eastAsia="Arial" w:hAnsi="Arial"/>
          <w:sz w:val="18"/>
          <w:szCs w:val="18"/>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107" w:lineRule="exact"/>
        <w:rPr>
          <w:rFonts w:ascii="Arial" w:cs="Arial" w:eastAsia="Arial" w:hAnsi="Arial"/>
          <w:sz w:val="18"/>
          <w:szCs w:val="18"/>
          <w:color w:val="auto"/>
        </w:rPr>
      </w:pPr>
    </w:p>
    <w:p>
      <w:pPr>
        <w:ind w:left="420" w:right="34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107"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44" w:lineRule="exact"/>
        <w:rPr>
          <w:rFonts w:ascii="Arial" w:cs="Arial" w:eastAsia="Arial" w:hAnsi="Arial"/>
          <w:sz w:val="18"/>
          <w:szCs w:val="18"/>
          <w:color w:val="auto"/>
        </w:rPr>
      </w:pPr>
    </w:p>
    <w:p>
      <w:pPr>
        <w:ind w:left="420" w:right="30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products, generic or biosimilar versions of our marketed products or any other products from the same class as one of our products;</w:t>
      </w:r>
    </w:p>
    <w:p>
      <w:pPr>
        <w:spacing w:after="0" w:line="103" w:lineRule="exact"/>
        <w:rPr>
          <w:rFonts w:ascii="Arial" w:cs="Arial" w:eastAsia="Arial" w:hAnsi="Arial"/>
          <w:sz w:val="18"/>
          <w:szCs w:val="18"/>
          <w:color w:val="auto"/>
        </w:rPr>
      </w:pPr>
    </w:p>
    <w:p>
      <w:pPr>
        <w:ind w:left="420" w:right="100" w:hanging="331"/>
        <w:spacing w:after="0" w:line="291"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direct and indirect impact of the COVID-19 pandemic on our business and operations, including sales, expenses, supply chain, manufacturing, cyber-attacks or other privacy or data security incidents, research and development costs, clinical trials and employees;</w:t>
      </w:r>
    </w:p>
    <w:p>
      <w:pPr>
        <w:spacing w:after="0" w:line="79" w:lineRule="exact"/>
        <w:rPr>
          <w:rFonts w:ascii="Arial" w:cs="Arial" w:eastAsia="Arial" w:hAnsi="Arial"/>
          <w:sz w:val="17"/>
          <w:szCs w:val="17"/>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(U.S.) and measures being taken worldwide designed to reduce healthcare costs and limit the overall level of government expenditures, including the impact of pricing actions and reduced reimbursement for our products;</w:t>
      </w:r>
    </w:p>
    <w:p>
      <w:pPr>
        <w:spacing w:after="0" w:line="120" w:lineRule="exact"/>
        <w:rPr>
          <w:rFonts w:ascii="Arial" w:cs="Arial" w:eastAsia="Arial" w:hAnsi="Arial"/>
          <w:sz w:val="18"/>
          <w:szCs w:val="18"/>
          <w:color w:val="auto"/>
        </w:rPr>
      </w:pPr>
    </w:p>
    <w:p>
      <w:pPr>
        <w:ind w:left="420" w:right="80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 timeline for the Solothurn manufacturing facility to be partially operational;</w:t>
      </w:r>
    </w:p>
    <w:p>
      <w:pPr>
        <w:spacing w:after="0" w:line="107" w:lineRule="exact"/>
        <w:rPr>
          <w:rFonts w:ascii="Arial" w:cs="Arial" w:eastAsia="Arial" w:hAnsi="Arial"/>
          <w:sz w:val="18"/>
          <w:szCs w:val="18"/>
          <w:color w:val="auto"/>
        </w:rPr>
      </w:pPr>
    </w:p>
    <w:p>
      <w:pPr>
        <w:ind w:left="420" w:right="72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in Europe and our collection of accounts receivable in such countries;</w:t>
      </w:r>
    </w:p>
    <w:p>
      <w:pPr>
        <w:spacing w:after="0" w:line="103"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on our results of operations and liquidity of the United Kingdom's (U.K.) departure from the European Union (E.U.);</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new laws, regulatory requirements, judicial decisions and accounting standards.</w:t>
      </w:r>
    </w:p>
    <w:p>
      <w:pPr>
        <w:spacing w:after="0" w:line="153"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COMPANY AND PRODUCT REFERENCES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this report to:</w:t>
      </w:r>
    </w:p>
    <w:p>
      <w:pPr>
        <w:spacing w:after="0" w:line="171" w:lineRule="exact"/>
        <w:rPr>
          <w:sz w:val="20"/>
          <w:szCs w:val="20"/>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71" w:lineRule="exact"/>
        <w:rPr>
          <w:rFonts w:ascii="Arial" w:cs="Arial" w:eastAsia="Arial" w:hAnsi="Arial"/>
          <w:sz w:val="18"/>
          <w:szCs w:val="18"/>
          <w:color w:val="auto"/>
        </w:rPr>
      </w:pPr>
    </w:p>
    <w:p>
      <w:pPr>
        <w:ind w:left="660" w:right="800" w:hanging="247"/>
        <w:spacing w:after="0" w:line="261"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TRADEMARKS</w:t>
      </w:r>
    </w:p>
    <w:p>
      <w:pPr>
        <w:spacing w:after="0" w:line="106" w:lineRule="exact"/>
        <w:rPr>
          <w:sz w:val="20"/>
          <w:szCs w:val="20"/>
          <w:color w:val="auto"/>
        </w:rPr>
      </w:pPr>
    </w:p>
    <w:p>
      <w:pPr>
        <w:ind w:right="120" w:firstLine="445"/>
        <w:spacing w:after="0" w:line="225" w:lineRule="auto"/>
        <w:rPr>
          <w:sz w:val="20"/>
          <w:szCs w:val="20"/>
          <w:color w:val="auto"/>
        </w:rPr>
      </w:pPr>
      <w:r>
        <w:rPr>
          <w:rFonts w:ascii="Arial" w:cs="Arial" w:eastAsia="Arial" w:hAnsi="Arial"/>
          <w:sz w:val="18"/>
          <w:szCs w:val="18"/>
          <w:color w:val="auto"/>
        </w:rPr>
        <w:t>AVONEX</w:t>
      </w:r>
      <w:r>
        <w:rPr>
          <w:rFonts w:ascii="Arial" w:cs="Arial" w:eastAsia="Arial" w:hAnsi="Arial"/>
          <w:sz w:val="23"/>
          <w:szCs w:val="23"/>
          <w:color w:val="auto"/>
          <w:vertAlign w:val="superscript"/>
        </w:rPr>
        <w:t>®</w:t>
      </w:r>
      <w:r>
        <w:rPr>
          <w:rFonts w:ascii="Arial" w:cs="Arial" w:eastAsia="Arial" w:hAnsi="Arial"/>
          <w:sz w:val="18"/>
          <w:szCs w:val="18"/>
          <w:color w:val="auto"/>
        </w:rPr>
        <w:t>, PLEGRIDY</w:t>
      </w:r>
      <w:r>
        <w:rPr>
          <w:rFonts w:ascii="Arial" w:cs="Arial" w:eastAsia="Arial" w:hAnsi="Arial"/>
          <w:sz w:val="23"/>
          <w:szCs w:val="23"/>
          <w:color w:val="auto"/>
          <w:vertAlign w:val="superscript"/>
        </w:rPr>
        <w:t>®</w:t>
      </w:r>
      <w:r>
        <w:rPr>
          <w:rFonts w:ascii="Arial" w:cs="Arial" w:eastAsia="Arial" w:hAnsi="Arial"/>
          <w:sz w:val="18"/>
          <w:szCs w:val="18"/>
          <w:color w:val="auto"/>
        </w:rPr>
        <w:t>, RITUXAN</w:t>
      </w:r>
      <w:r>
        <w:rPr>
          <w:rFonts w:ascii="Arial" w:cs="Arial" w:eastAsia="Arial" w:hAnsi="Arial"/>
          <w:sz w:val="23"/>
          <w:szCs w:val="23"/>
          <w:color w:val="auto"/>
          <w:vertAlign w:val="superscript"/>
        </w:rPr>
        <w:t>®</w:t>
      </w:r>
      <w:r>
        <w:rPr>
          <w:rFonts w:ascii="Arial" w:cs="Arial" w:eastAsia="Arial" w:hAnsi="Arial"/>
          <w:sz w:val="18"/>
          <w:szCs w:val="18"/>
          <w:color w:val="auto"/>
        </w:rPr>
        <w:t>, RITUXAN HYCELA</w:t>
      </w:r>
      <w:r>
        <w:rPr>
          <w:rFonts w:ascii="Arial" w:cs="Arial" w:eastAsia="Arial" w:hAnsi="Arial"/>
          <w:sz w:val="23"/>
          <w:szCs w:val="23"/>
          <w:color w:val="auto"/>
          <w:vertAlign w:val="superscript"/>
        </w:rPr>
        <w:t>®</w:t>
      </w:r>
      <w:r>
        <w:rPr>
          <w:rFonts w:ascii="Arial" w:cs="Arial" w:eastAsia="Arial" w:hAnsi="Arial"/>
          <w:sz w:val="18"/>
          <w:szCs w:val="18"/>
          <w:color w:val="auto"/>
        </w:rPr>
        <w:t>, SPINRAZA</w:t>
      </w:r>
      <w:r>
        <w:rPr>
          <w:rFonts w:ascii="Arial" w:cs="Arial" w:eastAsia="Arial" w:hAnsi="Arial"/>
          <w:sz w:val="23"/>
          <w:szCs w:val="23"/>
          <w:color w:val="auto"/>
          <w:vertAlign w:val="superscript"/>
        </w:rPr>
        <w:t>®</w:t>
      </w:r>
      <w:r>
        <w:rPr>
          <w:rFonts w:ascii="Arial" w:cs="Arial" w:eastAsia="Arial" w:hAnsi="Arial"/>
          <w:sz w:val="18"/>
          <w:szCs w:val="18"/>
          <w:color w:val="auto"/>
        </w:rPr>
        <w:t>, TECFIDERA</w:t>
      </w:r>
      <w:r>
        <w:rPr>
          <w:rFonts w:ascii="Arial" w:cs="Arial" w:eastAsia="Arial" w:hAnsi="Arial"/>
          <w:sz w:val="23"/>
          <w:szCs w:val="23"/>
          <w:color w:val="auto"/>
          <w:vertAlign w:val="superscript"/>
        </w:rPr>
        <w:t>®</w:t>
      </w:r>
      <w:r>
        <w:rPr>
          <w:rFonts w:ascii="Arial" w:cs="Arial" w:eastAsia="Arial" w:hAnsi="Arial"/>
          <w:sz w:val="18"/>
          <w:szCs w:val="18"/>
          <w:color w:val="auto"/>
        </w:rPr>
        <w:t>, TYSABRI</w:t>
      </w:r>
      <w:r>
        <w:rPr>
          <w:rFonts w:ascii="Arial" w:cs="Arial" w:eastAsia="Arial" w:hAnsi="Arial"/>
          <w:sz w:val="23"/>
          <w:szCs w:val="23"/>
          <w:color w:val="auto"/>
          <w:vertAlign w:val="superscript"/>
        </w:rPr>
        <w:t>®</w:t>
      </w:r>
      <w:r>
        <w:rPr>
          <w:rFonts w:ascii="Arial" w:cs="Arial" w:eastAsia="Arial" w:hAnsi="Arial"/>
          <w:sz w:val="18"/>
          <w:szCs w:val="18"/>
          <w:color w:val="auto"/>
        </w:rPr>
        <w:t>, VUMERITY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ZINBRYTA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Biogen.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BENEPALI</w:t>
      </w:r>
      <w:r>
        <w:rPr>
          <w:rFonts w:ascii="Arial" w:cs="Arial" w:eastAsia="Arial" w:hAnsi="Arial"/>
          <w:sz w:val="23"/>
          <w:szCs w:val="23"/>
          <w:color w:val="auto"/>
          <w:vertAlign w:val="superscript"/>
        </w:rPr>
        <w:t>™</w:t>
      </w:r>
      <w:r>
        <w:rPr>
          <w:rFonts w:ascii="Arial" w:cs="Arial" w:eastAsia="Arial" w:hAnsi="Arial"/>
          <w:sz w:val="18"/>
          <w:szCs w:val="18"/>
          <w:color w:val="auto"/>
        </w:rPr>
        <w:t>, FLIXABI</w:t>
      </w:r>
      <w:r>
        <w:rPr>
          <w:rFonts w:ascii="Arial" w:cs="Arial" w:eastAsia="Arial" w:hAnsi="Arial"/>
          <w:sz w:val="23"/>
          <w:szCs w:val="23"/>
          <w:color w:val="auto"/>
          <w:vertAlign w:val="superscript"/>
        </w:rPr>
        <w:t>™</w:t>
      </w:r>
      <w:r>
        <w:rPr>
          <w:rFonts w:ascii="Arial" w:cs="Arial" w:eastAsia="Arial" w:hAnsi="Arial"/>
          <w:sz w:val="18"/>
          <w:szCs w:val="18"/>
          <w:color w:val="auto"/>
        </w:rPr>
        <w:t>, FUMADERM</w:t>
      </w:r>
      <w:r>
        <w:rPr>
          <w:rFonts w:ascii="Arial" w:cs="Arial" w:eastAsia="Arial" w:hAnsi="Arial"/>
          <w:sz w:val="23"/>
          <w:szCs w:val="23"/>
          <w:color w:val="auto"/>
          <w:vertAlign w:val="superscript"/>
        </w:rPr>
        <w:t>™</w:t>
      </w:r>
      <w:r>
        <w:rPr>
          <w:rFonts w:ascii="Arial" w:cs="Arial" w:eastAsia="Arial" w:hAnsi="Arial"/>
          <w:sz w:val="18"/>
          <w:szCs w:val="18"/>
          <w:color w:val="auto"/>
        </w:rPr>
        <w:t>, IMRALDI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Healthy Climate, Healthy Lives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Biogen.</w:t>
      </w:r>
    </w:p>
    <w:p>
      <w:pPr>
        <w:spacing w:after="0" w:line="43" w:lineRule="exact"/>
        <w:rPr>
          <w:sz w:val="20"/>
          <w:szCs w:val="20"/>
          <w:color w:val="auto"/>
        </w:rPr>
      </w:pPr>
    </w:p>
    <w:p>
      <w:pPr>
        <w:ind w:right="200" w:firstLine="445"/>
        <w:spacing w:after="0" w:line="220" w:lineRule="auto"/>
        <w:rPr>
          <w:sz w:val="20"/>
          <w:szCs w:val="20"/>
          <w:color w:val="auto"/>
        </w:rPr>
      </w:pPr>
      <w:r>
        <w:rPr>
          <w:rFonts w:ascii="Arial" w:cs="Arial" w:eastAsia="Arial" w:hAnsi="Arial"/>
          <w:sz w:val="18"/>
          <w:szCs w:val="18"/>
          <w:color w:val="auto"/>
        </w:rPr>
        <w:t>ENBREL</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FAMPYRA</w:t>
      </w:r>
      <w:r>
        <w:rPr>
          <w:rFonts w:ascii="Arial" w:cs="Arial" w:eastAsia="Arial" w:hAnsi="Arial"/>
          <w:sz w:val="23"/>
          <w:szCs w:val="23"/>
          <w:color w:val="auto"/>
          <w:vertAlign w:val="superscript"/>
        </w:rPr>
        <w:t>™</w:t>
      </w:r>
      <w:r>
        <w:rPr>
          <w:rFonts w:ascii="Arial" w:cs="Arial" w:eastAsia="Arial" w:hAnsi="Arial"/>
          <w:sz w:val="18"/>
          <w:szCs w:val="18"/>
          <w:color w:val="auto"/>
        </w:rPr>
        <w:t>, GAZYVA</w:t>
      </w:r>
      <w:r>
        <w:rPr>
          <w:rFonts w:ascii="Arial" w:cs="Arial" w:eastAsia="Arial" w:hAnsi="Arial"/>
          <w:sz w:val="23"/>
          <w:szCs w:val="23"/>
          <w:color w:val="auto"/>
          <w:vertAlign w:val="superscript"/>
        </w:rPr>
        <w:t>®</w:t>
      </w:r>
      <w:r>
        <w:rPr>
          <w:rFonts w:ascii="Arial" w:cs="Arial" w:eastAsia="Arial" w:hAnsi="Arial"/>
          <w:sz w:val="18"/>
          <w:szCs w:val="18"/>
          <w:color w:val="auto"/>
        </w:rPr>
        <w:t>, HUMIRA</w:t>
      </w:r>
      <w:r>
        <w:rPr>
          <w:rFonts w:ascii="Arial" w:cs="Arial" w:eastAsia="Arial" w:hAnsi="Arial"/>
          <w:sz w:val="23"/>
          <w:szCs w:val="23"/>
          <w:color w:val="auto"/>
          <w:vertAlign w:val="superscript"/>
        </w:rPr>
        <w:t>®</w:t>
      </w:r>
      <w:r>
        <w:rPr>
          <w:rFonts w:ascii="Arial" w:cs="Arial" w:eastAsia="Arial" w:hAnsi="Arial"/>
          <w:sz w:val="18"/>
          <w:szCs w:val="18"/>
          <w:color w:val="auto"/>
        </w:rPr>
        <w:t>, LUCENTIS</w:t>
      </w:r>
      <w:r>
        <w:rPr>
          <w:rFonts w:ascii="Arial" w:cs="Arial" w:eastAsia="Arial" w:hAnsi="Arial"/>
          <w:sz w:val="23"/>
          <w:szCs w:val="23"/>
          <w:color w:val="auto"/>
          <w:vertAlign w:val="superscript"/>
        </w:rPr>
        <w:t>®</w:t>
      </w:r>
      <w:r>
        <w:rPr>
          <w:rFonts w:ascii="Arial" w:cs="Arial" w:eastAsia="Arial" w:hAnsi="Arial"/>
          <w:sz w:val="18"/>
          <w:szCs w:val="18"/>
          <w:color w:val="auto"/>
        </w:rPr>
        <w:t>, OCREVUS</w:t>
      </w:r>
      <w:r>
        <w:rPr>
          <w:rFonts w:ascii="Arial" w:cs="Arial" w:eastAsia="Arial" w:hAnsi="Arial"/>
          <w:sz w:val="23"/>
          <w:szCs w:val="23"/>
          <w:color w:val="auto"/>
          <w:vertAlign w:val="superscript"/>
        </w:rPr>
        <w:t>®</w:t>
      </w:r>
      <w:r>
        <w:rPr>
          <w:rFonts w:ascii="Arial" w:cs="Arial" w:eastAsia="Arial" w:hAnsi="Arial"/>
          <w:sz w:val="18"/>
          <w:szCs w:val="18"/>
          <w:color w:val="auto"/>
        </w:rPr>
        <w:t>, REMICADE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other trademarks referenced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w:t>
      </w:r>
    </w:p>
    <w:p>
      <w:pPr>
        <w:spacing w:after="0" w:line="3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1C5A7D"/>
        </w:rPr>
        <w:t>Item 1.</w:t>
      </w:r>
      <w:r>
        <w:rPr>
          <w:sz w:val="20"/>
          <w:szCs w:val="20"/>
          <w:color w:val="auto"/>
        </w:rPr>
        <w:tab/>
      </w:r>
      <w:r>
        <w:rPr>
          <w:rFonts w:ascii="Arial" w:cs="Arial" w:eastAsia="Arial" w:hAnsi="Arial"/>
          <w:sz w:val="21"/>
          <w:szCs w:val="21"/>
          <w:b w:val="1"/>
          <w:bCs w:val="1"/>
          <w:color w:val="1C5A7D"/>
        </w:rPr>
        <w:t>Business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Overview</w:t>
      </w:r>
    </w:p>
    <w:p>
      <w:pPr>
        <w:spacing w:after="0" w:line="184" w:lineRule="exact"/>
        <w:rPr>
          <w:sz w:val="20"/>
          <w:szCs w:val="20"/>
          <w:color w:val="auto"/>
        </w:rPr>
      </w:pPr>
    </w:p>
    <w:p>
      <w:pPr>
        <w:ind w:right="240" w:firstLine="405"/>
        <w:spacing w:after="0" w:line="252"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neuromuscular disorders, including spinal muscular atrophy (SMA) and amyotrophic lateral sclerosis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96520</wp:posOffset>
            </wp:positionV>
            <wp:extent cx="3471545" cy="1809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154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(PPMS) and relapsing MS (RMS); and other potential anti-CD20 therapies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 consolidated financial statements included in this report.</w:t>
      </w:r>
    </w:p>
    <w:p>
      <w:pPr>
        <w:spacing w:after="0" w:line="151"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For over two decades we have led in the research and development of new therapies to treat MS, resulting in our leading portfolio of MS treatments. Now our research is focused on developing next generation treatments for MS. We introduced the first approved treatment for SMA and are continuing to pursue research and development for potential advancements in the treatment of SMA. We are also applying our scientific expertise to solve some of the most challenging and complex diseases, including Alzheimer's disease, ALS, Parkinson's disease, choroideremia (CHM), major depressive disorder, postpartum depression, X-linked retinitis pigmentosa (XLRP), systemic lupus erythematosus (SLE), cutaneous lupus erythematosus (CLE), cognitive impairment associated with schizophrenia (CIAS), stroke and neuropathic pain.</w:t>
      </w:r>
    </w:p>
    <w:p>
      <w:pPr>
        <w:spacing w:after="0" w:line="15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and have an option to acquire exclusive rights to commercialize these products in China. Additionally, we have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 For additional information on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Key Business Developments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key developments affecting our business since the beginning of 2020.</w:t>
      </w:r>
    </w:p>
    <w:p>
      <w:pPr>
        <w:spacing w:after="0" w:line="153" w:lineRule="exact"/>
        <w:rPr>
          <w:sz w:val="20"/>
          <w:szCs w:val="20"/>
          <w:color w:val="auto"/>
        </w:rPr>
      </w:pPr>
    </w:p>
    <w:p>
      <w:pPr>
        <w:ind w:right="180" w:firstLine="405"/>
        <w:spacing w:after="0" w:line="266" w:lineRule="auto"/>
        <w:rPr>
          <w:sz w:val="20"/>
          <w:szCs w:val="20"/>
          <w:color w:val="auto"/>
        </w:rPr>
      </w:pPr>
      <w:r>
        <w:rPr>
          <w:rFonts w:ascii="Arial" w:cs="Arial" w:eastAsia="Arial" w:hAnsi="Arial"/>
          <w:sz w:val="18"/>
          <w:szCs w:val="18"/>
          <w:color w:val="auto"/>
        </w:rPr>
        <w:t xml:space="preserve">For additional information on our acquisitions, collaborative and other relationships discussed below,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 </w:t>
      </w:r>
      <w:r>
        <w:rPr>
          <w:rFonts w:ascii="Arial" w:cs="Arial" w:eastAsia="Arial" w:hAnsi="Arial"/>
          <w:sz w:val="18"/>
          <w:szCs w:val="18"/>
          <w:color w:val="auto"/>
        </w:rPr>
        <w:t>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Acquisitions, Collaborative and Other Relationships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BIIB118 Acquisition</w:t>
      </w:r>
    </w:p>
    <w:p>
      <w:pPr>
        <w:spacing w:after="0" w:line="108"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March 2020 we acquired BIIB118 (CK1 inhibitor), a novel CNS-penetrant small molecule inhibitor of casein kinase 1, for the potential treatment of patients with behavioral and neurological symptoms across various psychiatric and neurological diseases from Pfizer Inc. (Pfizer). We are developing BIIB118 for the potential treatment of irregular sleep wake rhythm disorder (ISWRD) in Parkinson’s disease and plan to develop BIIB118 for the potential treatment of sundowning in Alzheimer's disease.</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Sangamo Therapeutics, Inc.</w:t>
      </w:r>
    </w:p>
    <w:p>
      <w:pPr>
        <w:spacing w:after="0" w:line="13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In April 2020 we closed a collaboration and license agreement with Sangamo Therapeutics, Inc.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to modulate the expression of key genes involved in neurological diseases. In connection with the closing of this transaction, we purchased $225.0 million of Sangamo common stock, or approximately 24 million shares at approximately $9.21 per share.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Denali Therapeutics Inc.</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October 2020 we closed a collaboration and license agreement with Denali Therapeutics Inc. (Denali) to co-develop and co-commercialize Denali’s small molecule inhibitors of leucine-rich repeat kinase 2 (LRRK2) for Parkinson’s disease. In addition to the LRRK2 program, we also have an exclusive option to license two preclinical programs from Denali’s Transport Vehicle platform, including its Antibody Transport Vehicle (ATV): ATV enabled anti -amyloid beta (Abeta) program and a second program utilizing its Transport Vehicle technology. Further, we have a right of first negotiation on two additional Transport Vehicle-enabled therapeutics, should Denali decide to seek a collaboration for such programs. As part of this collaboration we purchased approximately $465.0 million of Denali common stock in September 2020, or approximately 13 million shares at approximately $34.94 per share.</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Sage Therapeutics, Inc.</w:t>
      </w:r>
    </w:p>
    <w:p>
      <w:pPr>
        <w:spacing w:after="0" w:line="135" w:lineRule="exact"/>
        <w:rPr>
          <w:sz w:val="20"/>
          <w:szCs w:val="20"/>
          <w:color w:val="auto"/>
        </w:rPr>
      </w:pPr>
    </w:p>
    <w:p>
      <w:pPr>
        <w:ind w:firstLine="405"/>
        <w:spacing w:after="0" w:line="238" w:lineRule="auto"/>
        <w:rPr>
          <w:sz w:val="20"/>
          <w:szCs w:val="20"/>
          <w:color w:val="auto"/>
        </w:rPr>
      </w:pPr>
      <w:r>
        <w:rPr>
          <w:rFonts w:ascii="Arial" w:cs="Arial" w:eastAsia="Arial" w:hAnsi="Arial"/>
          <w:sz w:val="18"/>
          <w:szCs w:val="18"/>
          <w:color w:val="auto"/>
        </w:rPr>
        <w:t>In December 2020 we closed a global collaboration and license agreement with Sage Therapeutics, Inc. (Sage) to jointly develop and commercialize zuranolone (SAGE-217) for the potential treatment of major depressive disorder, postpartum depression and other psychiatric disorders and SAGE-324 for the potential treatment of essential tremor and other neurological disorders. In connection with the closing of this transaction we purchased $650.0 million of Sage common stock, or approximately 6.2 million shares at approximately $104.14 per share.</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Key Developments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Aducanumab (Aβ mAb)</w:t>
      </w:r>
    </w:p>
    <w:p>
      <w:pPr>
        <w:spacing w:after="0" w:line="13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July 2020 we completed the submission of a Biologics License Application (BLA) to the U.S. Food and Drug Administration (FDA) for the approval of aducanumab, an anti-amyloid beta antibody candidate for the potential treatment of Alzheimer's disease that we are developing in collaboration with Eisai Co., Ltd. (Eisai). In August 2020 the FDA accepted the BLA and granted Priority Review with a Prescription Drug User Fee Act (PDUFA) action date on March 7, 2021.</w:t>
      </w:r>
    </w:p>
    <w:p>
      <w:pPr>
        <w:spacing w:after="0" w:line="96"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November 2020 the FDA held a virtual meeting of the Peripheral and Central Nervous System Drugs Advisory Committee (the Advisory Committee) to review data supporting the BLA for aducanumab and to vote on questions presented at the meeting. A majority of the Advisory Committee members voted against each of the questions presented at the meeting.</w:t>
      </w:r>
    </w:p>
    <w:p>
      <w:pPr>
        <w:spacing w:after="0" w:line="94"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In January 2021 the FDA extended the review period for the BLA for aducanumab by three months. The updated PDUFA action date is June 7, 2021. As part of the ongoing review, we submitted a response to an information request by the FDA, including additional analyses and clinical data, which the FDA considered a Major Amendment to the application that will require additional time for review.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20" w:firstLine="405"/>
        <w:spacing w:after="0" w:line="261" w:lineRule="auto"/>
        <w:rPr>
          <w:sz w:val="20"/>
          <w:szCs w:val="20"/>
          <w:color w:val="auto"/>
        </w:rPr>
      </w:pPr>
      <w:r>
        <w:rPr>
          <w:rFonts w:ascii="Arial" w:cs="Arial" w:eastAsia="Arial" w:hAnsi="Arial"/>
          <w:sz w:val="18"/>
          <w:szCs w:val="18"/>
          <w:color w:val="auto"/>
        </w:rPr>
        <w:t>In October 2020 the European Medicines Agency (EMA) accepted for review the Marketing Authorization Application (MAA) for aducanumab.</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December 2020 the Ministry of Health, Labor and Welfare accepted for review the Japanese New Drug Application for aducanumab.</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SB11 (referencing LUCENTIS)</w:t>
      </w:r>
    </w:p>
    <w:p>
      <w:pPr>
        <w:spacing w:after="0" w:line="13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October 2020 the EMA accepted for review the MAA for SB11 and in November 2020 the FDA accepted the BLA for SB11. We have exclusive rights to commercialize SB11 in major markets worldwide, including the U.S., Canada, Europe, Japan and Australia, pursuant to our 2019 agreement with Samsung Bioepis.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2020 Share Repurchase Programs</w:t>
      </w:r>
    </w:p>
    <w:p>
      <w:pPr>
        <w:spacing w:after="0" w:line="13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October 2020 our Board of Directors authorized a program to repurchase up to $5.0 billion of our common stock (2020 Share Repurchase Program). Our 2020 Share Repurchase Program does not have an expiration date. All share repurchases under our 2020 Share Repurchase Program will be retired.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Healthy Climate, Healthy Lives</w:t>
      </w:r>
    </w:p>
    <w:p>
      <w:pPr>
        <w:spacing w:after="0" w:line="135"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September 2020 we announced Healthy Climate, Healthy Lives, a $250.0 million, 20-year initiative to eliminate our fossil fuels across our operations and collaborate with renowned institutions with the aim to improve health, especially for the world's most vulnerable populations.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Management Changes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July 2020 we announced the appointment of Michael R. McDonnell as Executive Vice President and Chief Financial Officer.</w:t>
      </w:r>
    </w:p>
    <w:p>
      <w:pPr>
        <w:spacing w:after="0" w:line="90" w:lineRule="exact"/>
        <w:rPr>
          <w:sz w:val="20"/>
          <w:szCs w:val="20"/>
          <w:color w:val="auto"/>
        </w:rPr>
      </w:pPr>
    </w:p>
    <w:p>
      <w:pPr>
        <w:ind w:right="520" w:firstLine="405"/>
        <w:spacing w:after="0" w:line="261" w:lineRule="auto"/>
        <w:rPr>
          <w:sz w:val="20"/>
          <w:szCs w:val="20"/>
          <w:color w:val="auto"/>
        </w:rPr>
      </w:pPr>
      <w:r>
        <w:rPr>
          <w:rFonts w:ascii="Arial" w:cs="Arial" w:eastAsia="Arial" w:hAnsi="Arial"/>
          <w:sz w:val="18"/>
          <w:szCs w:val="18"/>
          <w:color w:val="auto"/>
        </w:rPr>
        <w:t>For additional information on our executive officers, please read the subsection entitled "Information about our Executive Officers"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Product and Pipeline Developments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Core Growth Areas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Multiple Sclerosis and Neuroimmunology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TYSABRI (natalizumab)</w:t>
      </w:r>
    </w:p>
    <w:p>
      <w:pPr>
        <w:spacing w:after="0" w:line="135" w:lineRule="exact"/>
        <w:rPr>
          <w:sz w:val="20"/>
          <w:szCs w:val="20"/>
          <w:color w:val="auto"/>
        </w:rPr>
      </w:pPr>
    </w:p>
    <w:p>
      <w:pPr>
        <w:ind w:left="740" w:right="160" w:hanging="327"/>
        <w:spacing w:after="0" w:line="25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we made a regulatory submission to the EMA for a subcutaneous (SC) formulation of TYSABRI (natalizumab). In June 2020 we submitted a Supplemental Biologics License Application for a SC formulation of natalizumab to the FDA. The filings are supported by data from the DELIVER and REFINE studies, which demonstrated that natalizumab 300 mg SC every 4 weeks (Q4W) was comparable to standard 300 mg intravenous Q4W dosing with respect to clinical and magnetic resonance imaging (MRI) efficacy, pharmacokinetics/pharmacodynamics, immunogenicity and safety.</w:t>
      </w:r>
    </w:p>
    <w:p>
      <w:pPr>
        <w:spacing w:after="0" w:line="97" w:lineRule="exact"/>
        <w:rPr>
          <w:rFonts w:ascii="Arial" w:cs="Arial" w:eastAsia="Arial" w:hAnsi="Arial"/>
          <w:sz w:val="18"/>
          <w:szCs w:val="18"/>
          <w:color w:val="auto"/>
        </w:rPr>
      </w:pPr>
    </w:p>
    <w:p>
      <w:pPr>
        <w:jc w:val="both"/>
        <w:ind w:left="740" w:right="80" w:hanging="327"/>
        <w:spacing w:after="0" w:line="256"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2020, through the 2020 American Academy of Neurology (AAN) Science Highlights virtual platform, an analysis of TYSABRI contributed to data demonstrating the reduced risk of progressive multifocal leukoencephalopathy (PML) through extended interval dosing (approximately every six weeks) as compared to the currently approved Q4W dosing.</w:t>
      </w:r>
    </w:p>
    <w:p>
      <w:pPr>
        <w:spacing w:after="0" w:line="93" w:lineRule="exact"/>
        <w:rPr>
          <w:rFonts w:ascii="Arial" w:cs="Arial" w:eastAsia="Arial" w:hAnsi="Arial"/>
          <w:sz w:val="18"/>
          <w:szCs w:val="18"/>
          <w:color w:val="auto"/>
        </w:rPr>
      </w:pPr>
    </w:p>
    <w:p>
      <w:pPr>
        <w:ind w:left="740" w:hanging="327"/>
        <w:spacing w:after="0" w:line="254"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2020, at MSVirtual2020, the eighth joint meeting of the Americas Committee for Treatment and Research in Multiple Sclerosis and the European Committee for Treatment and Research in Multiple Sclerosis (ACTRIMS-ECTRIMS), we presented new real-world MRI data suggesting that the effectiveness of extended interval dosing of TYSABRI is similar to the approved Q4W dosing.</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VUMERITY (diroximel fumarate; DRF)</w:t>
      </w:r>
    </w:p>
    <w:p>
      <w:pPr>
        <w:spacing w:after="0" w:line="189" w:lineRule="exact"/>
        <w:rPr>
          <w:sz w:val="20"/>
          <w:szCs w:val="20"/>
          <w:color w:val="auto"/>
        </w:rPr>
      </w:pPr>
    </w:p>
    <w:p>
      <w:pPr>
        <w:ind w:left="740" w:right="380" w:hanging="327"/>
        <w:spacing w:after="0" w:line="261"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May 2020, through the 2020 AAN Science Highlights virtual platform, we announced new data that support VUMERITY as an important oral treatment option in RMS.</w:t>
      </w:r>
    </w:p>
    <w:p>
      <w:pPr>
        <w:spacing w:after="0" w:line="143"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September 2020, at MSVirtual2020, the eighth joint meeting of ACTRIMS-ECTRIMS, we presented new data further defining the effectiveness and safety profile of VUMERITY.</w:t>
      </w:r>
    </w:p>
    <w:p>
      <w:pPr>
        <w:spacing w:after="0" w:line="143" w:lineRule="exact"/>
        <w:rPr>
          <w:rFonts w:ascii="Arial" w:cs="Arial" w:eastAsia="Arial" w:hAnsi="Arial"/>
          <w:sz w:val="18"/>
          <w:szCs w:val="18"/>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November 2020 we submitted a MAA for VUMERITY to the EMA.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PLEGRIDY (peginterferon beta-1a)</w:t>
      </w:r>
    </w:p>
    <w:p>
      <w:pPr>
        <w:spacing w:after="0" w:line="189" w:lineRule="exact"/>
        <w:rPr>
          <w:sz w:val="20"/>
          <w:szCs w:val="20"/>
          <w:color w:val="auto"/>
        </w:rPr>
      </w:pPr>
    </w:p>
    <w:p>
      <w:pPr>
        <w:ind w:left="740" w:right="820" w:hanging="327"/>
        <w:spacing w:after="0" w:line="261"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2020 the European Commission (EC) approved a new intramuscular (IM) injection route of administration for PLEGRIDY for the treatment of relapsing-remitting MS (RRMS).</w:t>
      </w:r>
    </w:p>
    <w:p>
      <w:pPr>
        <w:spacing w:after="0" w:line="143" w:lineRule="exact"/>
        <w:rPr>
          <w:rFonts w:ascii="Arial" w:cs="Arial" w:eastAsia="Arial" w:hAnsi="Arial"/>
          <w:sz w:val="18"/>
          <w:szCs w:val="18"/>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January 2021 the FDA approved a new IM injection route of administration for PLEGRIDY for the treatment of RRMS.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Alzheimer's Disease and Dementia</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Aducanumab (Aβ mAb)</w:t>
      </w:r>
    </w:p>
    <w:p>
      <w:pPr>
        <w:spacing w:after="0" w:line="189" w:lineRule="exact"/>
        <w:rPr>
          <w:sz w:val="20"/>
          <w:szCs w:val="20"/>
          <w:color w:val="auto"/>
        </w:rPr>
      </w:pPr>
    </w:p>
    <w:p>
      <w:pPr>
        <w:ind w:left="740" w:right="240" w:hanging="327"/>
        <w:spacing w:after="0" w:line="256"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March 2020 the first patient was dosed in the aducanumab re-dosing study, EMBARK, which is a global re-dosing clinical study designed to evaluate aducanumab in eligible Alzheimer’s disease patients who were actively enrolled in aducanumab studies (PRIME, EVOLVE, EMERGE and ENGAGE) in March 2019.</w:t>
      </w:r>
    </w:p>
    <w:p>
      <w:pPr>
        <w:spacing w:after="0" w:line="147"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2020 we presented on the study design of the ongoing EMBARK re-dosing study of aducanumab at the 2020 Clinical Trials on Alzheimer's Disease digital conference.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BAN2401 (lecanemab)</w:t>
      </w:r>
    </w:p>
    <w:p>
      <w:pPr>
        <w:spacing w:after="0" w:line="189" w:lineRule="exact"/>
        <w:rPr>
          <w:sz w:val="20"/>
          <w:szCs w:val="20"/>
          <w:color w:val="auto"/>
        </w:rPr>
      </w:pPr>
    </w:p>
    <w:p>
      <w:pPr>
        <w:ind w:left="740" w:hanging="327"/>
        <w:spacing w:after="0" w:line="256"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2020 the first patient was dosed in the Phase 3 AHEAD 3-45 clinical study of BAN2401, an anti-amyloid beta antibody, in individuals with preclinical Alzheimer’s disease who have intermediate or elevated levels of amyloid in their brains. We are collaborating with Eisai on the development of BAN2401.</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Neuromuscular Disorders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SPINRAZA (nusinersen)</w:t>
      </w:r>
    </w:p>
    <w:p>
      <w:pPr>
        <w:spacing w:after="0" w:line="189" w:lineRule="exact"/>
        <w:rPr>
          <w:sz w:val="20"/>
          <w:szCs w:val="20"/>
          <w:color w:val="auto"/>
        </w:rPr>
      </w:pPr>
    </w:p>
    <w:p>
      <w:pPr>
        <w:ind w:left="740" w:right="280" w:hanging="327"/>
        <w:spacing w:after="0" w:line="261"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March 2020 the first patient was dosed in the global DEVOTE study, which is evaluating the safety, tolerability and potential for even greater efficacy of SPINRAZA when administered at a higher dose than currently approved for the treatment of SMA.</w:t>
      </w:r>
    </w:p>
    <w:p>
      <w:pPr>
        <w:spacing w:after="0" w:line="125" w:lineRule="exact"/>
        <w:rPr>
          <w:rFonts w:ascii="Arial" w:cs="Arial" w:eastAsia="Arial" w:hAnsi="Arial"/>
          <w:sz w:val="18"/>
          <w:szCs w:val="18"/>
          <w:color w:val="auto"/>
        </w:rPr>
      </w:pPr>
    </w:p>
    <w:p>
      <w:pPr>
        <w:ind w:left="740" w:right="20" w:hanging="327"/>
        <w:spacing w:after="0" w:line="255"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March 2020 a study on the efficacy and safety of SPINRAZA in teen and adult patients was published in </w:t>
      </w:r>
      <w:r>
        <w:rPr>
          <w:rFonts w:ascii="Arial" w:cs="Arial" w:eastAsia="Arial" w:hAnsi="Arial"/>
          <w:sz w:val="18"/>
          <w:szCs w:val="18"/>
          <w:i w:val="1"/>
          <w:iCs w:val="1"/>
          <w:color w:val="auto"/>
        </w:rPr>
        <w:t>Lancet Neurology</w:t>
      </w:r>
      <w:r>
        <w:rPr>
          <w:rFonts w:ascii="Arial" w:cs="Arial" w:eastAsia="Arial" w:hAnsi="Arial"/>
          <w:sz w:val="18"/>
          <w:szCs w:val="18"/>
          <w:color w:val="auto"/>
        </w:rPr>
        <w:t>, showing clinically meaningful improvements in motor function in a real-world cohort. This study included 139 teens and adults with later-onset SMA (age 16-65 years) from 10 neuromuscular treatment centers in Germany. Patients were followed for 6-14 months and experienced statistically significant increases in HFMSE (Hammersmith Functional Motor Scale Expanded) scores compared to baseline at 6 months, 10 months and 14 months. Clinically meaningful improvements (≥3 points increase) in HFMSE scores were seen in 28% of patients at 6 months, 35% of patients at 10 months and 40% of patients at 14 months. The most frequent adverse events were headache, back pain and nausea.</w:t>
      </w:r>
    </w:p>
    <w:p>
      <w:pPr>
        <w:spacing w:after="0" w:line="152" w:lineRule="exact"/>
        <w:rPr>
          <w:rFonts w:ascii="Arial" w:cs="Arial" w:eastAsia="Arial" w:hAnsi="Arial"/>
          <w:sz w:val="18"/>
          <w:szCs w:val="18"/>
          <w:color w:val="auto"/>
        </w:rPr>
      </w:pPr>
    </w:p>
    <w:p>
      <w:pPr>
        <w:ind w:left="740" w:right="380" w:hanging="327"/>
        <w:spacing w:after="0" w:line="254"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June 2020 we announced new results from NURTURE, the longest study of presymptomatic patients with SMA. In infants genetically diagnosed with SMA, new data demonstrated that early and sustained treatment with SPINRAZA for up to 4.8 years enabled unprecedented survival. Patients continued to maintain and make progressive gains in motor function compared to the natural course of the disease. These results were presented at the virtual Cure SMA Research &amp; Clinical Care Meeting.</w:t>
      </w:r>
    </w:p>
    <w:p>
      <w:pPr>
        <w:spacing w:after="0" w:line="149" w:lineRule="exact"/>
        <w:rPr>
          <w:rFonts w:ascii="Arial" w:cs="Arial" w:eastAsia="Arial" w:hAnsi="Arial"/>
          <w:sz w:val="18"/>
          <w:szCs w:val="18"/>
          <w:color w:val="auto"/>
        </w:rPr>
      </w:pPr>
    </w:p>
    <w:p>
      <w:pPr>
        <w:ind w:left="740" w:right="100" w:hanging="327"/>
        <w:spacing w:after="0" w:line="252"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May 2020, through the 2020 AAN Science Highlights virtual platform, we announced additional data from the SPINRAZA clinical development program that further demonstrated the sustained efficacy and longer-term safety of SPINRAZA in a broad range of patients with SMA. The SHINE open-label extension study (NCT02594124) has enrolled 292 patients (infants through teenagers) from 5 previous SPINRAZA clinical studies, including ENDEAR. New findings from the SHINE study show that treatment with SPINRAZA resulted in motor function improvement or disease stabilization in toddlers, children and young adults who were treated continuously, some for up to six and a half years.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BIIB067 (tofersen) - ALS</w:t>
      </w:r>
    </w:p>
    <w:p>
      <w:pPr>
        <w:spacing w:after="0" w:line="189" w:lineRule="exact"/>
        <w:rPr>
          <w:sz w:val="20"/>
          <w:szCs w:val="20"/>
          <w:color w:val="auto"/>
        </w:rPr>
      </w:pPr>
    </w:p>
    <w:p>
      <w:pPr>
        <w:ind w:left="740" w:hanging="327"/>
        <w:spacing w:after="0" w:line="256"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 July 2020 positive results from a Phase 1/2 study of tofersen for the potential treatment of superoxide dismutase 1 (SOD1) ALS were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Final Phase 1/2 study results demonstrated proof-of-concept and proof-of-biology of tofersen.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BIIB105 (ataxin-2 ASO) - ALS</w:t>
      </w:r>
    </w:p>
    <w:p>
      <w:pPr>
        <w:spacing w:after="0" w:line="189" w:lineRule="exact"/>
        <w:rPr>
          <w:sz w:val="20"/>
          <w:szCs w:val="20"/>
          <w:color w:val="auto"/>
        </w:rPr>
      </w:pPr>
    </w:p>
    <w:p>
      <w:pPr>
        <w:ind w:left="740" w:hanging="327"/>
        <w:spacing w:after="0" w:line="261"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September 2020 the first patient in a Phase 1 study of BIIB105, an antisense oligonucleotide (ASO) targeting ataxin-2 in ALS, was dosed.</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Movement Disorders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BIIB101 (ION464) - Multiple System Atrophy</w:t>
      </w:r>
    </w:p>
    <w:p>
      <w:pPr>
        <w:spacing w:after="0" w:line="189" w:lineRule="exact"/>
        <w:rPr>
          <w:sz w:val="20"/>
          <w:szCs w:val="20"/>
          <w:color w:val="auto"/>
        </w:rPr>
      </w:pPr>
    </w:p>
    <w:p>
      <w:pPr>
        <w:ind w:left="740" w:right="460" w:hanging="327"/>
        <w:spacing w:after="0" w:line="261"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July 2020 the first patient in the Phase 1 study of BIIB101, an ASO targeting alpha synuclein in multiple system atrophy, was dosed.</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Emerging Growth Areas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Immunology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Dapirolizumab Pegol (anti-CD40L) - SLE</w:t>
      </w:r>
    </w:p>
    <w:p>
      <w:pPr>
        <w:spacing w:after="0" w:line="189" w:lineRule="exact"/>
        <w:rPr>
          <w:sz w:val="20"/>
          <w:szCs w:val="20"/>
          <w:color w:val="auto"/>
        </w:rPr>
      </w:pPr>
    </w:p>
    <w:p>
      <w:pPr>
        <w:ind w:left="740" w:right="80" w:hanging="327"/>
        <w:spacing w:after="0" w:line="261"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August 2020 the first patient was dosed in the Phase 3 program for dapirolizumab pegol in patients with active SLE despite being treated by standard of care therapies. Dapirolizumab pegol is being developed in collaboration with UCB Pharma S.A.</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573BA"/>
        </w:rPr>
        <w:t>BIIB059 (anti-BDCA2) - CLE/SLE</w:t>
      </w:r>
    </w:p>
    <w:p>
      <w:pPr>
        <w:spacing w:after="0" w:line="189" w:lineRule="exact"/>
        <w:rPr>
          <w:sz w:val="20"/>
          <w:szCs w:val="20"/>
          <w:color w:val="auto"/>
        </w:rPr>
      </w:pPr>
    </w:p>
    <w:p>
      <w:pPr>
        <w:ind w:left="740" w:right="220" w:hanging="327"/>
        <w:spacing w:after="0" w:line="25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June 2020 we shared positive data from the 16-week CLE portion of the Phase 2 LILAC study. The study evaluated the efficacy and safety of BIIB059, a fully humanized IgG1 monoclonal antibody (mAb) targeting blood dendritic cell antigen 2 (BDCA2) expressed on plasmacytoid dendritic cells (pDCs). The data were presented at the European E-Congress of Rheumatology (EULAR).</w:t>
      </w:r>
    </w:p>
    <w:p>
      <w:pPr>
        <w:spacing w:after="0" w:line="149" w:lineRule="exact"/>
        <w:rPr>
          <w:rFonts w:ascii="Arial" w:cs="Arial" w:eastAsia="Arial" w:hAnsi="Arial"/>
          <w:sz w:val="18"/>
          <w:szCs w:val="18"/>
          <w:color w:val="auto"/>
        </w:rPr>
      </w:pPr>
    </w:p>
    <w:p>
      <w:pPr>
        <w:ind w:left="740" w:right="120" w:hanging="327"/>
        <w:spacing w:after="0" w:line="254"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November 2020 we shared positive data from the 24-week SLE portion of the Phase 2 LILAC study (part A) demonstrating that BIIB059 was associated with a statistically significant reduction in total active joint count. These data, along with the previously reported findings from the CLE portion of the LILAC study, were presented at the American College of Rheumatology’s virtual ACR Convergence 2020.</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Biosimilars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Samsung Bioepis - Biogen's Joint Venture with Samsung BioLogics</w:t>
      </w:r>
    </w:p>
    <w:p>
      <w:pPr>
        <w:spacing w:after="0" w:line="189" w:lineRule="exact"/>
        <w:rPr>
          <w:sz w:val="20"/>
          <w:szCs w:val="20"/>
          <w:color w:val="auto"/>
        </w:rPr>
      </w:pPr>
    </w:p>
    <w:p>
      <w:pPr>
        <w:jc w:val="both"/>
        <w:ind w:left="740" w:right="300" w:hanging="327"/>
        <w:spacing w:after="0" w:line="256"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May 2020 Samsung Bioepis announced that the primary endpoints were met in the randomized, double-masked, Phase 3 trial comparing the efficacy, safety and immunogenicity of SB11 to the reference product (LUCENTIS). Ranibizumab is an anti-VEGF (vascular endothelial growth factor) for retinal vascular disorders, which are a leading cause of blindness.</w:t>
      </w:r>
    </w:p>
    <w:p>
      <w:pPr>
        <w:spacing w:after="0" w:line="147" w:lineRule="exact"/>
        <w:rPr>
          <w:rFonts w:ascii="Arial" w:cs="Arial" w:eastAsia="Arial" w:hAnsi="Arial"/>
          <w:sz w:val="18"/>
          <w:szCs w:val="18"/>
          <w:color w:val="auto"/>
        </w:rPr>
      </w:pPr>
    </w:p>
    <w:p>
      <w:pPr>
        <w:ind w:left="740" w:right="160" w:hanging="327"/>
        <w:spacing w:after="0" w:line="256"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June 2020 Samsung Bioepis initiated a Phase 3 study for SB15, a proposed aflibercept biosimilar referencing EYLEA. EYLEA is widely used to treat ophthalmologic conditions such as neovascular (wet) age-related macular degeneration, macular edema following retinal vein occlusion, diabetic macular edema (DME) and diabetic retinopathy in patients with DME.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Discontinued Programs</w:t>
      </w:r>
    </w:p>
    <w:p>
      <w:pPr>
        <w:spacing w:after="0" w:line="193" w:lineRule="exact"/>
        <w:rPr>
          <w:sz w:val="20"/>
          <w:szCs w:val="20"/>
          <w:color w:val="auto"/>
        </w:rPr>
      </w:pPr>
    </w:p>
    <w:p>
      <w:pPr>
        <w:ind w:left="740" w:right="140" w:hanging="327"/>
        <w:spacing w:after="0" w:line="256"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2020 we announced that the Phase 2 OPUS study investigating natalizumab as an adjunctive therapy in adults with drug-resistant focal epilepsy did not meet its primary endpoint. Safety data were in-line with the known safety profile of natalizumab. Based on these results, we discontinued development of natalizumab in drug-resistant focal epilepsy.</w:t>
      </w:r>
    </w:p>
    <w:p>
      <w:pPr>
        <w:spacing w:after="0" w:line="147" w:lineRule="exact"/>
        <w:rPr>
          <w:rFonts w:ascii="Arial" w:cs="Arial" w:eastAsia="Arial" w:hAnsi="Arial"/>
          <w:sz w:val="18"/>
          <w:szCs w:val="18"/>
          <w:color w:val="auto"/>
        </w:rPr>
      </w:pPr>
    </w:p>
    <w:p>
      <w:pPr>
        <w:ind w:left="740" w:right="460" w:hanging="327"/>
        <w:spacing w:after="0" w:line="261"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October 2020 we announced that the Phase 2 AFFINITY study of opicinumab (anti-LINGO) in MS did not meet its primary or secondary endpoints. Based on these results, we discontinued development of opicinumab.</w:t>
      </w:r>
    </w:p>
    <w:p>
      <w:pPr>
        <w:spacing w:after="0" w:line="143" w:lineRule="exact"/>
        <w:rPr>
          <w:rFonts w:ascii="Arial" w:cs="Arial" w:eastAsia="Arial" w:hAnsi="Arial"/>
          <w:sz w:val="18"/>
          <w:szCs w:val="18"/>
          <w:color w:val="auto"/>
        </w:rPr>
      </w:pPr>
    </w:p>
    <w:p>
      <w:pPr>
        <w:ind w:left="740" w:right="320" w:hanging="327"/>
        <w:spacing w:after="0" w:line="261"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February 2021 we announced that the Phase 2 SPARK study of BIIB054 (cinpanemab) in Parkinson's disease did not meet its primary or secondary endpoints. Based on these results, we discontinued development of BIIB054.</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Marketed Products</w:t>
      </w:r>
    </w:p>
    <w:p>
      <w:pPr>
        <w:spacing w:after="0" w:line="103" w:lineRule="exact"/>
        <w:rPr>
          <w:sz w:val="20"/>
          <w:szCs w:val="20"/>
          <w:color w:val="auto"/>
        </w:rPr>
      </w:pPr>
    </w:p>
    <w:p>
      <w:pPr>
        <w:ind w:right="900" w:firstLine="405"/>
        <w:spacing w:after="0" w:line="261" w:lineRule="auto"/>
        <w:rPr>
          <w:sz w:val="20"/>
          <w:szCs w:val="20"/>
          <w:color w:val="auto"/>
        </w:rPr>
      </w:pPr>
      <w:r>
        <w:rPr>
          <w:rFonts w:ascii="Arial" w:cs="Arial" w:eastAsia="Arial" w:hAnsi="Arial"/>
          <w:sz w:val="18"/>
          <w:szCs w:val="18"/>
          <w:color w:val="auto"/>
        </w:rPr>
        <w:t>The following graph shows our revenues by product and revenues from anti-CD20 therapeutic programs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966460" cy="4577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Fumarate includes TECFIDERA and VUMERITY. VUMERITY became commercially available in the U.S. in November 2019.</w:t>
      </w:r>
    </w:p>
    <w:p>
      <w:pPr>
        <w:spacing w:after="0" w:line="34" w:lineRule="exact"/>
        <w:rPr>
          <w:rFonts w:ascii="Arial" w:cs="Arial" w:eastAsia="Arial" w:hAnsi="Arial"/>
          <w:sz w:val="18"/>
          <w:szCs w:val="18"/>
          <w:color w:val="auto"/>
          <w:vertAlign w:val="superscript"/>
        </w:rPr>
      </w:pPr>
    </w:p>
    <w:p>
      <w:pPr>
        <w:ind w:left="180" w:hanging="172"/>
        <w:spacing w:after="0" w:line="193"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Interferon includes AVONEX and PLEGRIDY.</w:t>
      </w:r>
    </w:p>
    <w:p>
      <w:pPr>
        <w:spacing w:after="0" w:line="21" w:lineRule="exact"/>
        <w:rPr>
          <w:rFonts w:ascii="Arial" w:cs="Arial" w:eastAsia="Arial" w:hAnsi="Arial"/>
          <w:sz w:val="21"/>
          <w:szCs w:val="21"/>
          <w:color w:val="auto"/>
          <w:vertAlign w:val="superscript"/>
        </w:rPr>
      </w:pPr>
    </w:p>
    <w:p>
      <w:pPr>
        <w:ind w:right="120" w:firstLine="8"/>
        <w:spacing w:after="0" w:line="239" w:lineRule="auto"/>
        <w:tabs>
          <w:tab w:leader="none" w:pos="173"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For 2020, 2019 and 2018 other includes FAMPYRA, FUMADERM, BENEPALI, IMRALDI and FLIXABI. For 2020 and 2019 other also includes VUMERITY, which became commercially available in the U.S. in November 2019. For 2018 other also includes ZINBRYTA, which was voluntary withdrawn from the market in March 2018.</w:t>
      </w:r>
    </w:p>
    <w:p>
      <w:pPr>
        <w:ind w:left="180" w:hanging="172"/>
        <w:spacing w:after="0" w:line="228"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Anti-CD20 therapeutic programs include RITUXAN, RITUXAN HYCELA, GAZYVA and OCREVUS.</w:t>
      </w:r>
    </w:p>
    <w:p>
      <w:pPr>
        <w:spacing w:after="0" w:line="154"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 xml:space="preserve">Product sales for TECFIDERA, AVONEX, TYSABRI and SPINRAZA each accounted for more than 10.0% of our total revenues for the years ended December 31, 2020, 2019 and 2018. For additional financial information about our product and other revenues and geographic areas where we operate, please read </w:t>
      </w:r>
      <w:r>
        <w:rPr>
          <w:rFonts w:ascii="Arial" w:cs="Arial" w:eastAsia="Arial" w:hAnsi="Arial"/>
          <w:sz w:val="18"/>
          <w:szCs w:val="18"/>
          <w:i w:val="1"/>
          <w:iCs w:val="1"/>
          <w:color w:val="auto"/>
        </w:rPr>
        <w:t>Note 4, Revenues,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24, Segment Information,</w:t>
      </w:r>
      <w:r>
        <w:rPr>
          <w:rFonts w:ascii="Arial" w:cs="Arial" w:eastAsia="Arial" w:hAnsi="Arial"/>
          <w:sz w:val="18"/>
          <w:szCs w:val="18"/>
          <w:color w:val="auto"/>
        </w:rPr>
        <w:t xml:space="preserve"> to our consolidated financial statements included in this report and </w:t>
      </w:r>
      <w:r>
        <w:rPr>
          <w:rFonts w:ascii="Arial" w:cs="Arial" w:eastAsia="Arial" w:hAnsi="Arial"/>
          <w:sz w:val="18"/>
          <w:szCs w:val="18"/>
          <w:i w:val="1"/>
          <w:iCs w:val="1"/>
          <w:color w:val="auto"/>
        </w:rPr>
        <w:t>Item 6. Selected Financial Data</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included in this report. A discussion of the risks attendant to our operations is set forth in</w:t>
      </w:r>
      <w:r>
        <w:rPr>
          <w:rFonts w:ascii="Arial" w:cs="Arial" w:eastAsia="Arial" w:hAnsi="Arial"/>
          <w:sz w:val="18"/>
          <w:szCs w:val="18"/>
          <w:i w:val="1"/>
          <w:iCs w:val="1"/>
          <w:color w:val="auto"/>
        </w:rPr>
        <w:t xml:space="preserve"> Item 1A. Risk Factors </w:t>
      </w:r>
      <w:r>
        <w:rPr>
          <w:rFonts w:ascii="Arial" w:cs="Arial" w:eastAsia="Arial" w:hAnsi="Arial"/>
          <w:sz w:val="18"/>
          <w:szCs w:val="18"/>
          <w:color w:val="auto"/>
        </w:rPr>
        <w:t>included in this report.</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Multiple Sclerosis and Neuroimmunology</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develop, manufacture and market a number of products designed to treat patients with MS. MS is a progressive neurological disease in which the body loses the ability to transmit messages along nerve cells, leading to a loss of muscle control, paralysis and, in some cases, death. Patients with active RMS experience an uneven pattern of disease progression characterized by periods of stability that are interrupted by flare-ups of the disease after which the patient may return to a lower baseline of functioning.</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MS products we market and our major markets are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3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Indication</w:t>
            </w: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Collaborator</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222"/>
        </w:trPr>
        <w:tc>
          <w:tcPr>
            <w:tcW w:w="3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RMS in the U.S.</w:t>
            </w: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2"/>
            <w:vMerge w:val="continue"/>
          </w:tcPr>
          <w:p>
            <w:pPr>
              <w:spacing w:after="0"/>
              <w:rPr>
                <w:sz w:val="7"/>
                <w:szCs w:val="7"/>
                <w:color w:val="auto"/>
              </w:rPr>
            </w:pPr>
          </w:p>
        </w:tc>
        <w:tc>
          <w:tcPr>
            <w:tcW w:w="26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None</w:t>
            </w:r>
          </w:p>
        </w:tc>
        <w:tc>
          <w:tcPr>
            <w:tcW w:w="1780" w:type="dxa"/>
            <w:vAlign w:val="bottom"/>
            <w:vMerge w:val="restart"/>
          </w:tcPr>
          <w:p>
            <w:pPr>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94"/>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RRMS in the E.U.</w:t>
            </w:r>
          </w:p>
        </w:tc>
        <w:tc>
          <w:tcPr>
            <w:tcW w:w="266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vMerge w:val="restart"/>
          </w:tcPr>
          <w:p>
            <w:pPr>
              <w:spacing w:after="0" w:line="176"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53"/>
        </w:trPr>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7"/>
        </w:trPr>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-608330</wp:posOffset>
            </wp:positionV>
            <wp:extent cx="147447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31750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25400</wp:posOffset>
            </wp:positionV>
            <wp:extent cx="1200150" cy="480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0" cy="48006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p>
      <w:pPr>
        <w:spacing w:after="0" w:line="36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203200</wp:posOffset>
            </wp:positionV>
            <wp:extent cx="4217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349250</wp:posOffset>
            </wp:positionV>
            <wp:extent cx="1148715"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87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288925</wp:posOffset>
            </wp:positionV>
            <wp:extent cx="4217670" cy="694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767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237490</wp:posOffset>
            </wp:positionV>
            <wp:extent cx="4217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w:t>
      </w:r>
    </w:p>
    <w:p>
      <w:pPr>
        <w:ind w:left="3240"/>
        <w:spacing w:after="0" w:line="203" w:lineRule="auto"/>
        <w:rPr>
          <w:sz w:val="20"/>
          <w:szCs w:val="20"/>
          <w:color w:val="auto"/>
        </w:rPr>
      </w:pPr>
      <w:r>
        <w:rPr>
          <w:rFonts w:ascii="Arial" w:cs="Arial" w:eastAsia="Arial" w:hAnsi="Arial"/>
          <w:sz w:val="18"/>
          <w:szCs w:val="18"/>
          <w:color w:val="auto"/>
        </w:rPr>
        <w:t>RRMS in the E.U.</w:t>
      </w:r>
    </w:p>
    <w:p>
      <w:pPr>
        <w:ind w:left="3240"/>
        <w:spacing w:after="0"/>
        <w:rPr>
          <w:sz w:val="20"/>
          <w:szCs w:val="20"/>
          <w:color w:val="auto"/>
        </w:rPr>
      </w:pPr>
      <w:r>
        <w:rPr>
          <w:rFonts w:ascii="Arial" w:cs="Arial" w:eastAsia="Arial" w:hAnsi="Arial"/>
          <w:sz w:val="18"/>
          <w:szCs w:val="18"/>
          <w:color w:val="auto"/>
        </w:rPr>
        <w:t>Crohn's disease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421767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7670" cy="351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Alkermes Pharma Ireland Limited, a subsidiary of Alkermes plc (Alkermes)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1611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288925</wp:posOffset>
            </wp:positionV>
            <wp:extent cx="16116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297815</wp:posOffset>
            </wp:positionV>
            <wp:extent cx="16116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288925</wp:posOffset>
            </wp:positionV>
            <wp:extent cx="1611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1315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15" w:lineRule="auto"/>
        <w:rPr>
          <w:sz w:val="20"/>
          <w:szCs w:val="20"/>
          <w:color w:val="auto"/>
        </w:rPr>
      </w:pPr>
      <w:r>
        <w:rPr>
          <w:rFonts w:ascii="Arial" w:cs="Arial" w:eastAsia="Arial" w:hAnsi="Arial"/>
          <w:sz w:val="17"/>
          <w:szCs w:val="17"/>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Japan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1315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15" w:lineRule="auto"/>
        <w:rPr>
          <w:sz w:val="20"/>
          <w:szCs w:val="20"/>
          <w:color w:val="auto"/>
        </w:rPr>
      </w:pPr>
      <w:r>
        <w:rPr>
          <w:rFonts w:ascii="Arial" w:cs="Arial" w:eastAsia="Arial" w:hAnsi="Arial"/>
          <w:sz w:val="17"/>
          <w:szCs w:val="17"/>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Spain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315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15" w:lineRule="auto"/>
        <w:rPr>
          <w:sz w:val="20"/>
          <w:szCs w:val="20"/>
          <w:color w:val="auto"/>
        </w:rPr>
      </w:pPr>
      <w:r>
        <w:rPr>
          <w:rFonts w:ascii="Arial" w:cs="Arial" w:eastAsia="Arial" w:hAnsi="Arial"/>
          <w:sz w:val="17"/>
          <w:szCs w:val="17"/>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Spain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1315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3">
            <w:col w:w="6080" w:space="720"/>
            <w:col w:w="2040" w:space="600"/>
            <w:col w:w="1780"/>
          </w:cols>
          <w:pgMar w:left="320" w:top="144" w:right="359" w:bottom="1440" w:gutter="0" w:footer="0" w:header="0"/>
          <w:type w:val="continuous"/>
        </w:sectPr>
      </w:pPr>
    </w:p>
    <w:tbl>
      <w:tblPr>
        <w:tblLayout w:type="fixed"/>
        <w:tblInd w:w="3220" w:type="dxa"/>
        <w:tblCellMar>
          <w:top w:w="0" w:type="dxa"/>
          <w:left w:w="0" w:type="dxa"/>
          <w:bottom w:w="0" w:type="dxa"/>
          <w:right w:w="0" w:type="dxa"/>
        </w:tblCellMar>
      </w:tblPr>
      <w:tr>
        <w:trPr>
          <w:trHeight w:val="207"/>
        </w:trPr>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Walking ability for patients with MS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Acorda Therapeutics, Inc.</w:t>
            </w:r>
          </w:p>
        </w:tc>
        <w:tc>
          <w:tcPr>
            <w:tcW w:w="178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22"/>
        </w:trPr>
        <w:tc>
          <w:tcPr>
            <w:tcW w:w="3560" w:type="dxa"/>
            <w:vAlign w:val="bottom"/>
            <w:gridSpan w:val="2"/>
            <w:vMerge w:val="continue"/>
          </w:tcPr>
          <w:p>
            <w:pPr>
              <w:spacing w:after="0"/>
              <w:rPr>
                <w:sz w:val="10"/>
                <w:szCs w:val="10"/>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(Acorda)</w:t>
            </w:r>
          </w:p>
        </w:tc>
        <w:tc>
          <w:tcPr>
            <w:tcW w:w="1780" w:type="dxa"/>
            <w:vAlign w:val="bottom"/>
            <w:vMerge w:val="restart"/>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954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Neuromuscular Disorders</w:t>
      </w:r>
    </w:p>
    <w:p>
      <w:pPr>
        <w:spacing w:after="0" w:line="126"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deletion or mutations in the SMN1 gene, people with SMA do not produce enough survival motor neuron (SMN) protein, which is critical to the survival of the neurons that control muscles. The severity of SMA correlates with the amount of SMN protein. People with Type 1 SMA, the most severe life-threatening form, produce very little SMN protein and do not achieve the ability to sit without support, and typically do not live beyond two years of age without respiratory support and nutritional interventions. People with Type 2 and Type 3 SMA produce greater amounts of SMN protein and have less severe, but still life-altering, forms of SMA.</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SMA product and major markets are as follows: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3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Indication</w:t>
            </w: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Collaborator</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222"/>
        </w:trPr>
        <w:tc>
          <w:tcPr>
            <w:tcW w:w="3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Ionis Pharmaceuticals Inc.</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SMA</w:t>
            </w:r>
          </w:p>
        </w:tc>
        <w:tc>
          <w:tcPr>
            <w:tcW w:w="2660" w:type="dxa"/>
            <w:vAlign w:val="bottom"/>
            <w:gridSpan w:val="2"/>
            <w:vMerge w:val="continue"/>
          </w:tcPr>
          <w:p>
            <w:pPr>
              <w:spacing w:after="0"/>
              <w:rPr>
                <w:sz w:val="7"/>
                <w:szCs w:val="7"/>
                <w:color w:val="auto"/>
              </w:rPr>
            </w:pPr>
          </w:p>
        </w:tc>
        <w:tc>
          <w:tcPr>
            <w:tcW w:w="1780" w:type="dxa"/>
            <w:vAlign w:val="bottom"/>
            <w:vMerge w:val="restart"/>
          </w:tcPr>
          <w:p>
            <w:pPr>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95"/>
        </w:trPr>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(Ionis)</w:t>
            </w: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1780" w:type="dxa"/>
            <w:vAlign w:val="bottom"/>
            <w:vMerge w:val="restart"/>
          </w:tcPr>
          <w:p>
            <w:pPr>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53"/>
        </w:trPr>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7"/>
        </w:trPr>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this report.</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Biosimilars</w:t>
      </w:r>
    </w:p>
    <w:p>
      <w:pPr>
        <w:spacing w:after="0" w:line="193"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Biosimilars are a group of biologic medicines that are similar to currently available biologic therapies developed by companies known as "originators". Under our agreements with Samsung Bioepis, we commercialize three anti-tumor necrosis factor (TNF) biosimilars in certain countries in Europe: BENEPALI, an etanercept biosimilar referencing ENBREL, IMRALDI, an adalimumab biosimilar referencing HUMIRA, and FLIXABI, an infliximab biosimilar referencing REMICADE. We also have an option to acquire exclusive rights to commercialize BENEPALI, IMRALDI and FLIXABI in China. Additionally, we have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current biosimilar products and major markets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Indication</w:t>
            </w:r>
          </w:p>
        </w:tc>
        <w:tc>
          <w:tcPr>
            <w:tcW w:w="100" w:type="dxa"/>
            <w:vAlign w:val="bottom"/>
          </w:tcPr>
          <w:p>
            <w:pPr>
              <w:spacing w:after="0"/>
              <w:rPr>
                <w:sz w:val="16"/>
                <w:szCs w:val="16"/>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Rheumatoid arthritis</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Juvenile idiopathic arthritis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Psoriatic arthritis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Axial spondyloarthritis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Plaque psoriasis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Paediatric plaque psoriasis</w:t>
            </w:r>
          </w:p>
        </w:tc>
        <w:tc>
          <w:tcPr>
            <w:tcW w:w="100" w:type="dxa"/>
            <w:vAlign w:val="bottom"/>
            <w:vMerge w:val="restart"/>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54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Rheumatoid arthritis</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Juvenile idiopathic 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Axial spondyloarthritis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Psoriatic 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Psoriasis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Paediatric plaque psoriasis</w:t>
            </w:r>
          </w:p>
        </w:tc>
        <w:tc>
          <w:tcPr>
            <w:tcW w:w="1640" w:type="dxa"/>
            <w:vAlign w:val="bottom"/>
          </w:tcPr>
          <w:p>
            <w:pPr>
              <w:ind w:left="20"/>
              <w:spacing w:after="0" w:line="176"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Hidradenitis suppurativa</w:t>
            </w:r>
          </w:p>
        </w:tc>
        <w:tc>
          <w:tcPr>
            <w:tcW w:w="1640" w:type="dxa"/>
            <w:vAlign w:val="bottom"/>
          </w:tcPr>
          <w:p>
            <w:pPr>
              <w:ind w:left="20"/>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Adolescent hidradenitis suppurativa</w:t>
            </w:r>
          </w:p>
        </w:tc>
        <w:tc>
          <w:tcPr>
            <w:tcW w:w="1640" w:type="dxa"/>
            <w:vAlign w:val="bottom"/>
          </w:tcPr>
          <w:p>
            <w:pPr>
              <w:ind w:left="20"/>
              <w:spacing w:after="0" w:line="176" w:lineRule="exact"/>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Crohn’s disease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Paediatric Crohn's disease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Ulcerative colitis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Uveitis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Paediatric Uveitis</w:t>
            </w:r>
          </w:p>
        </w:tc>
        <w:tc>
          <w:tcPr>
            <w:tcW w:w="1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Rheumatoid arthritis</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Crohn’s disease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Paediatric Crohn’s disease</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Ulcerative colitis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Paediatric ulcerative colitis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Ankylosing spondylitis</w:t>
            </w: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40" w:type="dxa"/>
            <w:vAlign w:val="bottom"/>
            <w:gridSpan w:val="2"/>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Psoriatic 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1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-3188335</wp:posOffset>
            </wp:positionV>
            <wp:extent cx="1482725" cy="634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82725" cy="6343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-2125345</wp:posOffset>
            </wp:positionV>
            <wp:extent cx="1482725" cy="763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2725" cy="7632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-865505</wp:posOffset>
            </wp:positionV>
            <wp:extent cx="1388745" cy="728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8745" cy="728980"/>
                    </a:xfrm>
                    <a:prstGeom prst="rect">
                      <a:avLst/>
                    </a:prstGeom>
                    <a:noFill/>
                  </pic:spPr>
                </pic:pic>
              </a:graphicData>
            </a:graphic>
          </wp:anchor>
        </w:drawing>
      </w:r>
    </w:p>
    <w:p>
      <w:pPr>
        <w:spacing w:after="0" w:line="56" w:lineRule="exact"/>
        <w:rPr>
          <w:sz w:val="20"/>
          <w:szCs w:val="20"/>
          <w:color w:val="auto"/>
        </w:rPr>
      </w:pPr>
    </w:p>
    <w:p>
      <w:pPr>
        <w:ind w:right="40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Genentech Relationships</w:t>
      </w:r>
    </w:p>
    <w:p>
      <w:pPr>
        <w:spacing w:after="0" w:line="126"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and other potential anti-CD20 therapies.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anti-CD20 therapeutic programs and major markets are as follows:</w:t>
      </w:r>
    </w:p>
    <w:p>
      <w:pPr>
        <w:sectPr>
          <w:pgSz w:w="11900" w:h="16838" w:orient="portrait"/>
          <w:cols w:equalWidth="0" w:num="1">
            <w:col w:w="11220"/>
          </w:cols>
          <w:pgMar w:left="320" w:top="144" w:right="359" w:bottom="1440" w:gutter="0" w:footer="0" w:header="0"/>
        </w:sectPr>
      </w:pPr>
    </w:p>
    <w:p>
      <w:pPr>
        <w:spacing w:after="0" w:line="132"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5897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4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Non-Hodgkin's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-50165</wp:posOffset>
            </wp:positionV>
            <wp:extent cx="1097280" cy="394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280" cy="394335"/>
                    </a:xfrm>
                    <a:prstGeom prst="rect">
                      <a:avLst/>
                    </a:prstGeom>
                    <a:noFill/>
                  </pic:spPr>
                </pic:pic>
              </a:graphicData>
            </a:graphic>
          </wp:anchor>
        </w:drawing>
      </w:r>
    </w:p>
    <w:p>
      <w:pPr>
        <w:ind w:left="3300"/>
        <w:spacing w:after="0" w:line="203" w:lineRule="auto"/>
        <w:rPr>
          <w:sz w:val="20"/>
          <w:szCs w:val="20"/>
          <w:color w:val="auto"/>
        </w:rPr>
      </w:pPr>
      <w:r>
        <w:rPr>
          <w:rFonts w:ascii="Arial" w:cs="Arial" w:eastAsia="Arial" w:hAnsi="Arial"/>
          <w:sz w:val="18"/>
          <w:szCs w:val="18"/>
          <w:color w:val="auto"/>
        </w:rPr>
        <w:t>CLL</w:t>
      </w:r>
    </w:p>
    <w:p>
      <w:pPr>
        <w:ind w:left="3300"/>
        <w:spacing w:after="0" w:line="203" w:lineRule="auto"/>
        <w:rPr>
          <w:sz w:val="20"/>
          <w:szCs w:val="20"/>
          <w:color w:val="auto"/>
        </w:rPr>
      </w:pPr>
      <w:r>
        <w:rPr>
          <w:rFonts w:ascii="Arial" w:cs="Arial" w:eastAsia="Arial" w:hAnsi="Arial"/>
          <w:sz w:val="18"/>
          <w:szCs w:val="18"/>
          <w:color w:val="auto"/>
        </w:rPr>
        <w:t>Rheumatoid arthritis</w:t>
      </w:r>
    </w:p>
    <w:p>
      <w:pPr>
        <w:ind w:left="3300"/>
        <w:spacing w:after="0" w:line="216" w:lineRule="auto"/>
        <w:rPr>
          <w:sz w:val="20"/>
          <w:szCs w:val="20"/>
          <w:color w:val="auto"/>
        </w:rPr>
      </w:pPr>
      <w:r>
        <w:rPr>
          <w:rFonts w:ascii="Arial" w:cs="Arial" w:eastAsia="Arial" w:hAnsi="Arial"/>
          <w:sz w:val="17"/>
          <w:szCs w:val="17"/>
          <w:color w:val="auto"/>
        </w:rPr>
        <w:t>Two forms of ANCA-associated vasculitis</w:t>
      </w:r>
    </w:p>
    <w:p>
      <w:pPr>
        <w:ind w:left="3300"/>
        <w:spacing w:after="0"/>
        <w:rPr>
          <w:sz w:val="20"/>
          <w:szCs w:val="20"/>
          <w:color w:val="auto"/>
        </w:rPr>
      </w:pPr>
      <w:r>
        <w:rPr>
          <w:rFonts w:ascii="Arial" w:cs="Arial" w:eastAsia="Arial" w:hAnsi="Arial"/>
          <w:sz w:val="18"/>
          <w:szCs w:val="18"/>
          <w:color w:val="auto"/>
        </w:rPr>
        <w:t>Pemphigus vulgaris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589788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97880" cy="445770"/>
                    </a:xfrm>
                    <a:prstGeom prst="rect">
                      <a:avLst/>
                    </a:prstGeom>
                    <a:noFill/>
                  </pic:spPr>
                </pic:pic>
              </a:graphicData>
            </a:graphic>
          </wp:anchor>
        </w:drawing>
      </w:r>
    </w:p>
    <w:p>
      <w:pPr>
        <w:spacing w:after="0" w:line="18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Non-Hodgkin's lymphoma</w:t>
      </w:r>
    </w:p>
    <w:p>
      <w:pPr>
        <w:ind w:left="3300"/>
        <w:spacing w:after="0"/>
        <w:rPr>
          <w:sz w:val="20"/>
          <w:szCs w:val="20"/>
          <w:color w:val="auto"/>
        </w:rPr>
      </w:pPr>
      <w:r>
        <w:rPr>
          <w:rFonts w:ascii="Arial" w:cs="Arial" w:eastAsia="Arial" w:hAnsi="Arial"/>
          <w:sz w:val="18"/>
          <w:szCs w:val="18"/>
          <w:color w:val="auto"/>
        </w:rPr>
        <w:t>CLL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5897880" cy="659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97880" cy="65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398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rPr>
          <w:sz w:val="20"/>
          <w:szCs w:val="20"/>
          <w:color w:val="auto"/>
        </w:rPr>
      </w:pPr>
      <w:r>
        <w:rPr>
          <w:rFonts w:ascii="Arial" w:cs="Arial" w:eastAsia="Arial" w:hAnsi="Arial"/>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1398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1398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8720" w:space="720"/>
            <w:col w:w="1780"/>
          </w:cols>
          <w:pgMar w:left="320" w:top="144" w:right="359" w:bottom="1440" w:gutter="0" w:footer="0" w:header="0"/>
          <w:type w:val="continuous"/>
        </w:sectPr>
      </w:pPr>
    </w:p>
    <w:p>
      <w:pPr>
        <w:spacing w:after="0" w:line="8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In combination with chlorambucil for previously untreated CLL</w:t>
      </w:r>
    </w:p>
    <w:p>
      <w:pPr>
        <w:ind w:left="3300"/>
        <w:spacing w:after="0" w:line="203" w:lineRule="auto"/>
        <w:rPr>
          <w:sz w:val="20"/>
          <w:szCs w:val="20"/>
          <w:color w:val="auto"/>
        </w:rPr>
      </w:pPr>
      <w:r>
        <w:rPr>
          <w:rFonts w:ascii="Arial" w:cs="Arial" w:eastAsia="Arial" w:hAnsi="Arial"/>
          <w:sz w:val="18"/>
          <w:szCs w:val="18"/>
          <w:color w:val="auto"/>
        </w:rPr>
        <w:t>Follicular lymphoma</w:t>
      </w:r>
    </w:p>
    <w:tbl>
      <w:tblPr>
        <w:tblLayout w:type="fixed"/>
        <w:tblInd w:w="3280" w:type="dxa"/>
        <w:tblCellMar>
          <w:top w:w="0" w:type="dxa"/>
          <w:left w:w="0" w:type="dxa"/>
          <w:bottom w:w="0" w:type="dxa"/>
          <w:right w:w="0" w:type="dxa"/>
        </w:tblCellMar>
      </w:tblPr>
      <w:tr>
        <w:trPr>
          <w:trHeight w:val="217"/>
        </w:trPr>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In combination with chemotherapy followed by GAZYVA alone for</w:t>
            </w:r>
          </w:p>
        </w:tc>
        <w:tc>
          <w:tcPr>
            <w:tcW w:w="178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34"/>
        </w:trPr>
        <w:tc>
          <w:tcPr>
            <w:tcW w:w="616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previously untreated follicular lymphoma</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5"/>
        </w:trPr>
        <w:tc>
          <w:tcPr>
            <w:tcW w:w="6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RMS</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176"/>
        </w:trPr>
        <w:tc>
          <w:tcPr>
            <w:tcW w:w="6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PPMS</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9970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-521970</wp:posOffset>
            </wp:positionV>
            <wp:extent cx="1997075" cy="454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97075" cy="454025"/>
                    </a:xfrm>
                    <a:prstGeom prst="rect">
                      <a:avLst/>
                    </a:prstGeom>
                    <a:noFill/>
                  </pic:spPr>
                </pic:pic>
              </a:graphicData>
            </a:graphic>
          </wp:anchor>
        </w:drawing>
      </w:r>
    </w:p>
    <w:p>
      <w:pPr>
        <w:spacing w:after="0" w:line="123" w:lineRule="exact"/>
        <w:rPr>
          <w:sz w:val="20"/>
          <w:szCs w:val="20"/>
          <w:color w:val="auto"/>
        </w:rPr>
      </w:pPr>
    </w:p>
    <w:p>
      <w:pPr>
        <w:ind w:right="1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18, Collaborative and Other Relationships, </w:t>
      </w:r>
      <w:r>
        <w:rPr>
          <w:rFonts w:ascii="Arial" w:cs="Arial" w:eastAsia="Arial" w:hAnsi="Arial"/>
          <w:sz w:val="18"/>
          <w:szCs w:val="18"/>
          <w:color w:val="auto"/>
        </w:rPr>
        <w:t>to our consolidated financial statements included in this report.</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6"/>
                <w:szCs w:val="16"/>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Indication</w:t>
            </w:r>
          </w:p>
        </w:tc>
        <w:tc>
          <w:tcPr>
            <w:tcW w:w="120" w:type="dxa"/>
            <w:vAlign w:val="bottom"/>
          </w:tcPr>
          <w:p>
            <w:pPr>
              <w:spacing w:after="0"/>
              <w:rPr>
                <w:sz w:val="16"/>
                <w:szCs w:val="16"/>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Collaborator</w:t>
            </w:r>
          </w:p>
        </w:tc>
        <w:tc>
          <w:tcPr>
            <w:tcW w:w="12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493"/>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Moderate to severe plaque psoriasis</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-454025</wp:posOffset>
            </wp:positionV>
            <wp:extent cx="994410" cy="386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38608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Patient Support and Access</w:t>
      </w:r>
    </w:p>
    <w:p>
      <w:pPr>
        <w:spacing w:after="0" w:line="116"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better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158"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We are dedicated to helping patients obtain access to our therapies. Our patient representatives have access to a suite of financial assistance tools.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With those tools, we help patients understand their insurance coverage and, if needed, help patients compare and select new insurance options and programs. In the U.S., we have established programs that provide co-pay assistance or free marketed product for qualified uninsured or underinsured patients, based on specific eligibility criteria. We also provide charitable contributions to independent charitable organizations that assist patients with out-of-pocket expenses associated with their therapy.</w:t>
      </w:r>
    </w:p>
    <w:p>
      <w:pPr>
        <w:spacing w:after="0" w:line="158" w:lineRule="exact"/>
        <w:rPr>
          <w:sz w:val="20"/>
          <w:szCs w:val="20"/>
          <w:color w:val="auto"/>
        </w:rPr>
      </w:pPr>
    </w:p>
    <w:p>
      <w:pPr>
        <w:ind w:right="280" w:firstLine="445"/>
        <w:spacing w:after="0" w:line="252" w:lineRule="auto"/>
        <w:rPr>
          <w:sz w:val="20"/>
          <w:szCs w:val="20"/>
          <w:color w:val="auto"/>
        </w:rPr>
      </w:pPr>
      <w:r>
        <w:rPr>
          <w:rFonts w:ascii="Arial" w:cs="Arial" w:eastAsia="Arial" w:hAnsi="Arial"/>
          <w:sz w:val="18"/>
          <w:szCs w:val="18"/>
          <w:color w:val="auto"/>
        </w:rPr>
        <w:t>We believe all healthcare stakeholders have a shared responsibility to ensure patients have equitable access to new, innovative medicines. We regularly review our pricing strategy and prioritize patient access to our therapies. We have a value-based contracting program designed to align the price of our therapies to the value our therapies deliver to patients. We also work with regulators, clinical</w:t>
      </w:r>
    </w:p>
    <w:p>
      <w:pPr>
        <w:spacing w:after="0" w:line="200" w:lineRule="exact"/>
        <w:rPr>
          <w:sz w:val="20"/>
          <w:szCs w:val="20"/>
          <w:color w:val="auto"/>
        </w:rPr>
      </w:pPr>
    </w:p>
    <w:p>
      <w:pPr>
        <w:sectPr>
          <w:pgSz w:w="11900" w:h="16838" w:orient="portrait"/>
          <w:cols w:equalWidth="0" w:num="2">
            <w:col w:w="5180" w:space="720"/>
            <w:col w:w="5320"/>
          </w:cols>
          <w:pgMar w:left="320" w:top="144" w:right="359" w:bottom="1440" w:gutter="0" w:footer="0" w:header="0"/>
          <w:type w:val="continuous"/>
        </w:sect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researchers, ethicists, physicians and patient advocacy organizations and communities, among others, to determine how best to address requests for access to our investigational therapies in a manner that is consistent with our patient-focused values and compliant with regulatory standards and protocols. In appropriate situations, patients may have access to investigational therapies through Early Access Programs, single patient access or emergency use based on humanitarian or compassionate grounds.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Marketing and Distribution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Sales Force and Marketing</w:t>
      </w:r>
    </w:p>
    <w:p>
      <w:pPr>
        <w:spacing w:after="0" w:line="12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promote our marketed products worldwide, including in the U.S., Europe and Japan, primarily through our own sales forces and marketing groups. In some countries, particularly in areas where we continue to expand into new geographic areas, we partner with third parties.</w:t>
      </w:r>
    </w:p>
    <w:p>
      <w:pPr>
        <w:spacing w:after="0" w:line="151"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We and Eisai co-promote AVONEX, TYSABRI and TECFIDERA in Japan in certain settings.</w:t>
      </w:r>
    </w:p>
    <w:p>
      <w:pPr>
        <w:spacing w:after="0" w:line="144" w:lineRule="exact"/>
        <w:rPr>
          <w:sz w:val="20"/>
          <w:szCs w:val="20"/>
          <w:color w:val="auto"/>
        </w:rPr>
      </w:pPr>
    </w:p>
    <w:p>
      <w:pPr>
        <w:ind w:right="160" w:firstLine="445"/>
        <w:spacing w:after="0" w:line="291" w:lineRule="auto"/>
        <w:rPr>
          <w:sz w:val="20"/>
          <w:szCs w:val="20"/>
          <w:color w:val="auto"/>
        </w:rPr>
      </w:pPr>
      <w:r>
        <w:rPr>
          <w:rFonts w:ascii="Arial" w:cs="Arial" w:eastAsia="Arial" w:hAnsi="Arial"/>
          <w:sz w:val="17"/>
          <w:szCs w:val="17"/>
          <w:color w:val="auto"/>
        </w:rPr>
        <w:t>RITUXAN, RITUXAN HYCELA, GAZYVA and OCREVUS are marketed by the Roche Group and its sublicensees.</w:t>
      </w:r>
    </w:p>
    <w:p>
      <w:pPr>
        <w:spacing w:after="0" w:line="120" w:lineRule="exact"/>
        <w:rPr>
          <w:sz w:val="20"/>
          <w:szCs w:val="20"/>
          <w:color w:val="auto"/>
        </w:rPr>
      </w:pPr>
    </w:p>
    <w:p>
      <w:pPr>
        <w:jc w:val="both"/>
        <w:ind w:right="420" w:firstLine="445"/>
        <w:spacing w:after="0" w:line="256" w:lineRule="auto"/>
        <w:rPr>
          <w:sz w:val="20"/>
          <w:szCs w:val="20"/>
          <w:color w:val="auto"/>
        </w:rPr>
      </w:pPr>
      <w:r>
        <w:rPr>
          <w:rFonts w:ascii="Arial" w:cs="Arial" w:eastAsia="Arial" w:hAnsi="Arial"/>
          <w:sz w:val="18"/>
          <w:szCs w:val="18"/>
          <w:color w:val="auto"/>
        </w:rPr>
        <w:t>We commercialize BENEPALI, IMRALDI and FLIXABI pursuant to our agreement with Samsung Bioepis in certain countries in Europe.</w:t>
      </w:r>
    </w:p>
    <w:p>
      <w:pPr>
        <w:spacing w:after="0" w:line="148"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We focus our sales and marketing efforts on specialist physicians in private practice or at major medical centers. We use customary industry practices to market our products and to educate physicians, such as sales representatives calling on individual physicians, advertisements, professional symposia, direct mail, public relations and other methods.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Distribution Arrangements</w:t>
      </w:r>
    </w:p>
    <w:p>
      <w:pPr>
        <w:spacing w:after="0" w:line="12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distribute our products in the U.S. principally through wholesale and specialty distributors of pharmaceutical products and specialty pharmacies,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151"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Eisai distributes AVONEX, TYSABRI, TECFIDERA and PLEGRIDY in India and other Asia-Pacific markets, excluding China.</w:t>
      </w:r>
    </w:p>
    <w:p>
      <w:pPr>
        <w:spacing w:after="0" w:line="148" w:lineRule="exact"/>
        <w:rPr>
          <w:sz w:val="20"/>
          <w:szCs w:val="20"/>
          <w:color w:val="auto"/>
        </w:rPr>
      </w:pPr>
    </w:p>
    <w:p>
      <w:pPr>
        <w:ind w:right="160" w:firstLine="445"/>
        <w:spacing w:after="0" w:line="291" w:lineRule="auto"/>
        <w:rPr>
          <w:sz w:val="20"/>
          <w:szCs w:val="20"/>
          <w:color w:val="auto"/>
        </w:rPr>
      </w:pPr>
      <w:r>
        <w:rPr>
          <w:rFonts w:ascii="Arial" w:cs="Arial" w:eastAsia="Arial" w:hAnsi="Arial"/>
          <w:sz w:val="17"/>
          <w:szCs w:val="17"/>
          <w:color w:val="auto"/>
        </w:rPr>
        <w:t>RITUXAN, RITUXAN HYCELA, GAZYVA and OCREVUS are distributed by the Roche Group and its sublicensees.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120" w:firstLine="445"/>
        <w:spacing w:after="0" w:line="256" w:lineRule="auto"/>
        <w:rPr>
          <w:sz w:val="20"/>
          <w:szCs w:val="20"/>
          <w:color w:val="auto"/>
        </w:rPr>
      </w:pPr>
      <w:r>
        <w:rPr>
          <w:rFonts w:ascii="Arial" w:cs="Arial" w:eastAsia="Arial" w:hAnsi="Arial"/>
          <w:sz w:val="18"/>
          <w:szCs w:val="18"/>
          <w:color w:val="auto"/>
        </w:rPr>
        <w:t>We distribute BENEPALI, IMRALDI and FLIXABI in certain countries in Europe and have an option to acquire exclusive rights to distribute these products in China.</w:t>
      </w:r>
    </w:p>
    <w:p>
      <w:pPr>
        <w:spacing w:after="0" w:line="148" w:lineRule="exact"/>
        <w:rPr>
          <w:sz w:val="20"/>
          <w:szCs w:val="20"/>
          <w:color w:val="auto"/>
        </w:rPr>
      </w:pPr>
    </w:p>
    <w:p>
      <w:pPr>
        <w:ind w:left="380" w:right="80" w:firstLine="445"/>
        <w:spacing w:after="0" w:line="252" w:lineRule="auto"/>
        <w:rPr>
          <w:sz w:val="20"/>
          <w:szCs w:val="20"/>
          <w:color w:val="auto"/>
        </w:rPr>
      </w:pPr>
      <w:r>
        <w:rPr>
          <w:rFonts w:ascii="Arial" w:cs="Arial" w:eastAsia="Arial" w:hAnsi="Arial"/>
          <w:sz w:val="18"/>
          <w:szCs w:val="18"/>
          <w:color w:val="auto"/>
        </w:rPr>
        <w:t xml:space="preserve">Our product sales to two wholesale distributors each accounted for more than 10.0% of our total revenues for the years ended December 31, 2020, 2019 and 2018, and on a combined basis, accounted for approximately 45.8%, 47.0% and 50.0% of our gross product revenues for the years ended December 31, 2020, 2019 and 2018, respectively. For additional information, please read </w:t>
      </w:r>
      <w:r>
        <w:rPr>
          <w:rFonts w:ascii="Arial" w:cs="Arial" w:eastAsia="Arial" w:hAnsi="Arial"/>
          <w:sz w:val="18"/>
          <w:szCs w:val="18"/>
          <w:i w:val="1"/>
          <w:iCs w:val="1"/>
          <w:color w:val="auto"/>
        </w:rPr>
        <w:t>Note 4, Revenues</w:t>
      </w:r>
      <w:r>
        <w:rPr>
          <w:rFonts w:ascii="Arial" w:cs="Arial" w:eastAsia="Arial" w:hAnsi="Arial"/>
          <w:sz w:val="18"/>
          <w:szCs w:val="18"/>
          <w:color w:val="auto"/>
        </w:rPr>
        <w:t>, to our consolidated financial statements included in this report.</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Patents and Other Proprietary Rights</w:t>
      </w:r>
    </w:p>
    <w:p>
      <w:pPr>
        <w:spacing w:after="0" w:line="103"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Patents are important to obtaining and protecting exclusive rights in our products and product candidates. We regularly seek patent protection in the U.S. and in selected countries outside the U.S. for inventions originating from our research and development efforts and those we license or acquire. In addition, we license rights to various patents and patent applications.</w:t>
      </w:r>
    </w:p>
    <w:p>
      <w:pPr>
        <w:spacing w:after="0" w:line="154"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U.S. patents, as well as most foreign patents, are generally effective for 20 years from the date the earliest application was filed; however, U.S. patents that issue on applications filed before June 8, 1995, may be effective until 17 years from the issue date, if that is later than the 20-year date. In some cases, the patent term may be extended to recapture a portion of the term lost during regulatory review of the claimed therapeutic or, in the case of the U.S., because of U.S. Patent and Trademark Office (USPTO) delays in prosecuting the application. Specifically, in the U.S., under the Drug Price Competition and Patent Term Restoration Act of 1984, commonly known as the Hatch-Waxman Act, a patent that covers a drug approved by the FDA may be eligible for patent term extension (for up to 5 years, but not beyond a total of 14 years from the date of product approval) as compensation for patent term lost during the FDA regulatory review process. The duration and extension of the term of foreign patents varies, in accordance with local law. For example, supplementary protection certificates (SPCs) on some of our products have been granted in a number of European countries, compensating in part for delays in obtaining marketing approval.</w:t>
      </w:r>
    </w:p>
    <w:p>
      <w:pPr>
        <w:spacing w:after="0" w:line="153" w:lineRule="exact"/>
        <w:rPr>
          <w:sz w:val="20"/>
          <w:szCs w:val="20"/>
          <w:color w:val="auto"/>
        </w:rPr>
      </w:pPr>
    </w:p>
    <w:p>
      <w:pPr>
        <w:ind w:left="380" w:right="40" w:firstLine="445"/>
        <w:spacing w:after="0" w:line="252" w:lineRule="auto"/>
        <w:rPr>
          <w:sz w:val="20"/>
          <w:szCs w:val="20"/>
          <w:color w:val="auto"/>
        </w:rPr>
      </w:pPr>
      <w:r>
        <w:rPr>
          <w:rFonts w:ascii="Arial" w:cs="Arial" w:eastAsia="Arial" w:hAnsi="Arial"/>
          <w:sz w:val="18"/>
          <w:szCs w:val="18"/>
          <w:color w:val="auto"/>
        </w:rPr>
        <w:t>Regulatory exclusivity, which may consist of regulatory data protection and market protection, also can provide meaningful protection for our products. Regulatory data protection provides to the holder of a drug or biologic marketing authorization, for a set period of time, the exclusive use of the proprietary pre-clinical and clinical data that it created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160" w:space="360"/>
            <w:col w:w="5600"/>
          </w:cols>
          <w:pgMar w:left="320" w:top="144" w:right="45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significant cost and submitted to the applicable regulatory authority to obtain approval of its product. After the period of exclusive use, third parties are permitted to reference such data in abbreviated applications for approval and to market (subject to any applicable market protection) their generic drugs and biosimilars. Market protection provides the holder of a drug or biologic marketing authorization the exclusive right to commercialize its product for a period of time, thereby preventing the commercialization of another product containing the same active ingredient(s) during that period.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w:t>
      </w:r>
    </w:p>
    <w:p>
      <w:pPr>
        <w:spacing w:after="0" w:line="155"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also rely upon other forms of unpatented confidential information to remain competitive. We protect such information principally through refraining from public disclosure and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are our exclusive property.</w:t>
      </w:r>
    </w:p>
    <w:p>
      <w:pPr>
        <w:spacing w:after="0" w:line="158"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Our trademarks are important to us and are generally covered by trademark applications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spacing w:after="0" w:line="252" w:lineRule="auto"/>
        <w:rPr>
          <w:sz w:val="20"/>
          <w:szCs w:val="20"/>
          <w:color w:val="auto"/>
        </w:rPr>
      </w:pPr>
      <w:r>
        <w:rPr>
          <w:rFonts w:ascii="Arial" w:cs="Arial" w:eastAsia="Arial" w:hAnsi="Arial"/>
          <w:sz w:val="18"/>
          <w:szCs w:val="18"/>
          <w:color w:val="auto"/>
        </w:rPr>
        <w:t>registrations in the USPTO and the patent or trademark offices of other countries. We also use trademarks licensed from third parties, such as the trademark FAMPYRA, which we license from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Our Patent Portfolio</w:t>
      </w:r>
    </w:p>
    <w:p>
      <w:pPr>
        <w:spacing w:after="0" w:line="126"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The following table describes our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are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180" w:space="340"/>
            <w:col w:w="5580"/>
          </w:cols>
          <w:pgMar w:left="320" w:top="144" w:right="47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58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120" w:type="dxa"/>
            <w:vAlign w:val="bottom"/>
            <w:tcBorders>
              <w:top w:val="single" w:sz="8" w:color="0000FF"/>
            </w:tcBorders>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36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00" w:type="dxa"/>
            <w:vAlign w:val="bottom"/>
            <w:vMerge w:val="restart"/>
          </w:tcPr>
          <w:p>
            <w:pPr>
              <w:spacing w:after="0"/>
              <w:rPr>
                <w:sz w:val="24"/>
                <w:szCs w:val="24"/>
                <w:color w:val="auto"/>
              </w:rPr>
            </w:pPr>
          </w:p>
        </w:tc>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100" w:type="dxa"/>
            <w:vAlign w:val="bottom"/>
            <w:vMerge w:val="restart"/>
          </w:tcPr>
          <w:p>
            <w:pPr>
              <w:spacing w:after="0"/>
              <w:rPr>
                <w:sz w:val="24"/>
                <w:szCs w:val="24"/>
                <w:color w:val="auto"/>
              </w:rPr>
            </w:pPr>
          </w:p>
        </w:tc>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00" w:type="dxa"/>
            <w:vAlign w:val="bottom"/>
            <w:vMerge w:val="restart"/>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175"/>
        </w:trPr>
        <w:tc>
          <w:tcPr>
            <w:tcW w:w="112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8"/>
              </w:rPr>
              <w:t>Expiration</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1580" w:type="dxa"/>
            <w:vAlign w:val="bottom"/>
            <w:gridSpan w:val="3"/>
          </w:tcPr>
          <w:p>
            <w:pPr>
              <w:ind w:left="20"/>
              <w:spacing w:after="0"/>
              <w:rPr>
                <w:sz w:val="20"/>
                <w:szCs w:val="20"/>
                <w:color w:val="auto"/>
              </w:rPr>
            </w:pPr>
            <w:r>
              <w:rPr>
                <w:rFonts w:ascii="Arial" w:cs="Arial" w:eastAsia="Arial" w:hAnsi="Arial"/>
                <w:sz w:val="16"/>
                <w:szCs w:val="16"/>
                <w:color w:val="2573BA"/>
              </w:rPr>
              <w:t>TECFIDERA</w:t>
            </w: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8,399,514</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line="209" w:lineRule="exact"/>
              <w:rPr>
                <w:sz w:val="20"/>
                <w:szCs w:val="20"/>
                <w:color w:val="auto"/>
              </w:rPr>
            </w:pPr>
            <w:r>
              <w:rPr>
                <w:rFonts w:ascii="Arial" w:cs="Arial" w:eastAsia="Arial" w:hAnsi="Arial"/>
                <w:sz w:val="16"/>
                <w:szCs w:val="16"/>
                <w:color w:val="2573BA"/>
                <w:w w:val="94"/>
              </w:rPr>
              <w:t>2028</w:t>
            </w:r>
            <w:r>
              <w:rPr>
                <w:rFonts w:ascii="Arial" w:cs="Arial" w:eastAsia="Arial" w:hAnsi="Arial"/>
                <w:sz w:val="21"/>
                <w:szCs w:val="21"/>
                <w:color w:val="2573BA"/>
                <w:w w:val="94"/>
                <w:vertAlign w:val="superscript"/>
              </w:rPr>
              <w:t>(2)</w:t>
            </w: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line="178" w:lineRule="exact"/>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line="178" w:lineRule="exact"/>
              <w:rPr>
                <w:sz w:val="20"/>
                <w:szCs w:val="20"/>
                <w:color w:val="auto"/>
              </w:rPr>
            </w:pPr>
            <w:r>
              <w:rPr>
                <w:rFonts w:ascii="Arial" w:cs="Arial" w:eastAsia="Arial" w:hAnsi="Arial"/>
                <w:sz w:val="16"/>
                <w:szCs w:val="16"/>
                <w:color w:val="2573BA"/>
              </w:rPr>
              <w:t>1131065</w:t>
            </w:r>
          </w:p>
        </w:tc>
        <w:tc>
          <w:tcPr>
            <w:tcW w:w="100" w:type="dxa"/>
            <w:vAlign w:val="bottom"/>
          </w:tcPr>
          <w:p>
            <w:pPr>
              <w:spacing w:after="0"/>
              <w:rPr>
                <w:sz w:val="15"/>
                <w:szCs w:val="15"/>
                <w:color w:val="auto"/>
              </w:rPr>
            </w:pPr>
          </w:p>
        </w:tc>
        <w:tc>
          <w:tcPr>
            <w:tcW w:w="4960" w:type="dxa"/>
            <w:vAlign w:val="bottom"/>
            <w:gridSpan w:val="2"/>
          </w:tcPr>
          <w:p>
            <w:pPr>
              <w:ind w:left="20"/>
              <w:spacing w:after="0" w:line="178" w:lineRule="exact"/>
              <w:rPr>
                <w:sz w:val="20"/>
                <w:szCs w:val="20"/>
                <w:color w:val="auto"/>
              </w:rPr>
            </w:pPr>
            <w:r>
              <w:rPr>
                <w:rFonts w:ascii="Arial" w:cs="Arial" w:eastAsia="Arial" w:hAnsi="Arial"/>
                <w:sz w:val="16"/>
                <w:szCs w:val="16"/>
                <w:color w:val="2573BA"/>
              </w:rPr>
              <w:t>Formulations of dialkyl fumarates and their use for treating</w:t>
            </w:r>
          </w:p>
        </w:tc>
        <w:tc>
          <w:tcPr>
            <w:tcW w:w="1500" w:type="dxa"/>
            <w:vAlign w:val="bottom"/>
          </w:tcPr>
          <w:p>
            <w:pPr>
              <w:jc w:val="center"/>
              <w:spacing w:after="0" w:line="178" w:lineRule="exact"/>
              <w:rPr>
                <w:sz w:val="20"/>
                <w:szCs w:val="20"/>
                <w:color w:val="auto"/>
              </w:rPr>
            </w:pPr>
            <w:r>
              <w:rPr>
                <w:rFonts w:ascii="Arial" w:cs="Arial" w:eastAsia="Arial" w:hAnsi="Arial"/>
                <w:sz w:val="15"/>
                <w:szCs w:val="15"/>
                <w:color w:val="2573BA"/>
              </w:rPr>
              <w:t>2024</w:t>
            </w:r>
            <w:r>
              <w:rPr>
                <w:rFonts w:ascii="Arial" w:cs="Arial" w:eastAsia="Arial" w:hAnsi="Arial"/>
                <w:sz w:val="20"/>
                <w:szCs w:val="20"/>
                <w:color w:val="2573BA"/>
                <w:vertAlign w:val="superscript"/>
              </w:rPr>
              <w:t>(3)</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autoimmune diseases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2137537</w:t>
            </w:r>
          </w:p>
        </w:tc>
        <w:tc>
          <w:tcPr>
            <w:tcW w:w="10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Methods of use</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6"/>
                <w:szCs w:val="16"/>
                <w:color w:val="2573BA"/>
                <w:w w:val="94"/>
              </w:rPr>
              <w:t>2028</w:t>
            </w:r>
            <w:r>
              <w:rPr>
                <w:rFonts w:ascii="Arial" w:cs="Arial" w:eastAsia="Arial" w:hAnsi="Arial"/>
                <w:sz w:val="21"/>
                <w:szCs w:val="21"/>
                <w:color w:val="2573BA"/>
                <w:w w:val="94"/>
                <w:vertAlign w:val="superscript"/>
              </w:rPr>
              <w:t>(4)</w:t>
            </w:r>
          </w:p>
        </w:tc>
        <w:tc>
          <w:tcPr>
            <w:tcW w:w="0" w:type="dxa"/>
            <w:vAlign w:val="bottom"/>
          </w:tcPr>
          <w:p>
            <w:pPr>
              <w:spacing w:after="0"/>
              <w:rPr>
                <w:sz w:val="1"/>
                <w:szCs w:val="1"/>
                <w:color w:val="auto"/>
              </w:rPr>
            </w:pPr>
          </w:p>
        </w:tc>
      </w:tr>
      <w:tr>
        <w:trPr>
          <w:trHeight w:val="203"/>
        </w:trPr>
        <w:tc>
          <w:tcPr>
            <w:tcW w:w="1580" w:type="dxa"/>
            <w:vAlign w:val="bottom"/>
            <w:gridSpan w:val="3"/>
          </w:tcPr>
          <w:p>
            <w:pPr>
              <w:ind w:left="20"/>
              <w:spacing w:after="0"/>
              <w:rPr>
                <w:sz w:val="20"/>
                <w:szCs w:val="20"/>
                <w:color w:val="auto"/>
              </w:rPr>
            </w:pPr>
            <w:r>
              <w:rPr>
                <w:rFonts w:ascii="Arial" w:cs="Arial" w:eastAsia="Arial" w:hAnsi="Arial"/>
                <w:sz w:val="16"/>
                <w:szCs w:val="16"/>
                <w:color w:val="2573BA"/>
              </w:rPr>
              <w:t>PLEGRIDY</w:t>
            </w: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7,446,173</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 beta-1a</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8,524,660</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8,017,733</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 beta-1a</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1656952</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interferon-beta-1a and uses thereof</w:t>
            </w:r>
          </w:p>
        </w:tc>
        <w:tc>
          <w:tcPr>
            <w:tcW w:w="1500" w:type="dxa"/>
            <w:vAlign w:val="bottom"/>
          </w:tcPr>
          <w:p>
            <w:pPr>
              <w:jc w:val="center"/>
              <w:spacing w:after="0" w:line="221" w:lineRule="exact"/>
              <w:rPr>
                <w:sz w:val="20"/>
                <w:szCs w:val="20"/>
                <w:color w:val="auto"/>
              </w:rPr>
            </w:pPr>
            <w:r>
              <w:rPr>
                <w:rFonts w:ascii="Arial" w:cs="Arial" w:eastAsia="Arial" w:hAnsi="Arial"/>
                <w:sz w:val="16"/>
                <w:szCs w:val="16"/>
                <w:color w:val="2573BA"/>
                <w:w w:val="94"/>
              </w:rPr>
              <w:t>2024</w:t>
            </w:r>
            <w:r>
              <w:rPr>
                <w:rFonts w:ascii="Arial" w:cs="Arial" w:eastAsia="Arial" w:hAnsi="Arial"/>
                <w:sz w:val="21"/>
                <w:szCs w:val="21"/>
                <w:color w:val="2573BA"/>
                <w:w w:val="94"/>
                <w:vertAlign w:val="superscript"/>
              </w:rPr>
              <w:t>(5)</w:t>
            </w:r>
          </w:p>
        </w:tc>
        <w:tc>
          <w:tcPr>
            <w:tcW w:w="0" w:type="dxa"/>
            <w:vAlign w:val="bottom"/>
          </w:tcPr>
          <w:p>
            <w:pPr>
              <w:spacing w:after="0"/>
              <w:rPr>
                <w:sz w:val="1"/>
                <w:szCs w:val="1"/>
                <w:color w:val="auto"/>
              </w:rPr>
            </w:pPr>
          </w:p>
        </w:tc>
      </w:tr>
      <w:tr>
        <w:trPr>
          <w:trHeight w:val="217"/>
        </w:trPr>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1476181</w:t>
            </w:r>
          </w:p>
        </w:tc>
        <w:tc>
          <w:tcPr>
            <w:tcW w:w="100" w:type="dxa"/>
            <w:vAlign w:val="bottom"/>
          </w:tcPr>
          <w:p>
            <w:pPr>
              <w:spacing w:after="0"/>
              <w:rPr>
                <w:sz w:val="18"/>
                <w:szCs w:val="18"/>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Polymer conjugates of interferon-beta-1a and uses thereof</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6"/>
                <w:szCs w:val="16"/>
                <w:color w:val="2573BA"/>
                <w:w w:val="94"/>
              </w:rPr>
              <w:t>2023</w:t>
            </w:r>
            <w:r>
              <w:rPr>
                <w:rFonts w:ascii="Arial" w:cs="Arial" w:eastAsia="Arial" w:hAnsi="Arial"/>
                <w:sz w:val="21"/>
                <w:szCs w:val="21"/>
                <w:color w:val="2573BA"/>
                <w:w w:val="94"/>
                <w:vertAlign w:val="superscript"/>
              </w:rPr>
              <w:t>(6)</w:t>
            </w:r>
          </w:p>
        </w:tc>
        <w:tc>
          <w:tcPr>
            <w:tcW w:w="0" w:type="dxa"/>
            <w:vAlign w:val="bottom"/>
          </w:tcPr>
          <w:p>
            <w:pPr>
              <w:spacing w:after="0"/>
              <w:rPr>
                <w:sz w:val="1"/>
                <w:szCs w:val="1"/>
                <w:color w:val="auto"/>
              </w:rPr>
            </w:pPr>
          </w:p>
        </w:tc>
      </w:tr>
      <w:tr>
        <w:trPr>
          <w:trHeight w:val="203"/>
        </w:trPr>
        <w:tc>
          <w:tcPr>
            <w:tcW w:w="1580" w:type="dxa"/>
            <w:vAlign w:val="bottom"/>
            <w:gridSpan w:val="3"/>
          </w:tcPr>
          <w:p>
            <w:pPr>
              <w:ind w:left="20"/>
              <w:spacing w:after="0"/>
              <w:rPr>
                <w:sz w:val="20"/>
                <w:szCs w:val="20"/>
                <w:color w:val="auto"/>
              </w:rPr>
            </w:pPr>
            <w:r>
              <w:rPr>
                <w:rFonts w:ascii="Arial" w:cs="Arial" w:eastAsia="Arial" w:hAnsi="Arial"/>
                <w:sz w:val="16"/>
                <w:szCs w:val="16"/>
                <w:color w:val="2573BA"/>
              </w:rPr>
              <w:t>TYSABRI</w:t>
            </w: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7,807,167</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9,493,567</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1485127</w:t>
            </w:r>
          </w:p>
        </w:tc>
        <w:tc>
          <w:tcPr>
            <w:tcW w:w="10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use</w:t>
            </w:r>
          </w:p>
        </w:tc>
        <w:tc>
          <w:tcPr>
            <w:tcW w:w="1500" w:type="dxa"/>
            <w:vAlign w:val="bottom"/>
          </w:tcPr>
          <w:p>
            <w:pPr>
              <w:jc w:val="center"/>
              <w:spacing w:after="0" w:line="237" w:lineRule="exact"/>
              <w:rPr>
                <w:sz w:val="20"/>
                <w:szCs w:val="20"/>
                <w:color w:val="auto"/>
              </w:rPr>
            </w:pPr>
            <w:r>
              <w:rPr>
                <w:rFonts w:ascii="Arial" w:cs="Arial" w:eastAsia="Arial" w:hAnsi="Arial"/>
                <w:sz w:val="16"/>
                <w:szCs w:val="16"/>
                <w:color w:val="2573BA"/>
                <w:w w:val="94"/>
              </w:rPr>
              <w:t>2023</w:t>
            </w:r>
            <w:r>
              <w:rPr>
                <w:rFonts w:ascii="Arial" w:cs="Arial" w:eastAsia="Arial" w:hAnsi="Arial"/>
                <w:sz w:val="21"/>
                <w:szCs w:val="21"/>
                <w:color w:val="2573BA"/>
                <w:w w:val="94"/>
                <w:vertAlign w:val="superscript"/>
              </w:rPr>
              <w:t>(2)</w:t>
            </w:r>
          </w:p>
        </w:tc>
        <w:tc>
          <w:tcPr>
            <w:tcW w:w="0" w:type="dxa"/>
            <w:vAlign w:val="bottom"/>
          </w:tcPr>
          <w:p>
            <w:pPr>
              <w:spacing w:after="0"/>
              <w:rPr>
                <w:sz w:val="1"/>
                <w:szCs w:val="1"/>
                <w:color w:val="auto"/>
              </w:rPr>
            </w:pPr>
          </w:p>
        </w:tc>
      </w:tr>
      <w:tr>
        <w:trPr>
          <w:trHeight w:val="198"/>
        </w:trPr>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7"/>
                <w:szCs w:val="17"/>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2676967</w:t>
            </w:r>
          </w:p>
        </w:tc>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Methods of use</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174"/>
        </w:trPr>
        <w:tc>
          <w:tcPr>
            <w:tcW w:w="1580" w:type="dxa"/>
            <w:vAlign w:val="bottom"/>
            <w:gridSpan w:val="3"/>
          </w:tcPr>
          <w:p>
            <w:pPr>
              <w:ind w:left="20"/>
              <w:spacing w:after="0" w:line="174" w:lineRule="exact"/>
              <w:rPr>
                <w:sz w:val="20"/>
                <w:szCs w:val="20"/>
                <w:color w:val="auto"/>
              </w:rPr>
            </w:pPr>
            <w:r>
              <w:rPr>
                <w:rFonts w:ascii="Arial" w:cs="Arial" w:eastAsia="Arial" w:hAnsi="Arial"/>
                <w:sz w:val="16"/>
                <w:szCs w:val="16"/>
                <w:color w:val="2573BA"/>
              </w:rPr>
              <w:t>FAMPYRA</w:t>
            </w:r>
          </w:p>
        </w:tc>
        <w:tc>
          <w:tcPr>
            <w:tcW w:w="1600" w:type="dxa"/>
            <w:vAlign w:val="bottom"/>
            <w:gridSpan w:val="2"/>
          </w:tcPr>
          <w:p>
            <w:pPr>
              <w:ind w:left="20"/>
              <w:spacing w:after="0" w:line="174" w:lineRule="exact"/>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line="174" w:lineRule="exact"/>
              <w:rPr>
                <w:sz w:val="20"/>
                <w:szCs w:val="20"/>
                <w:color w:val="auto"/>
              </w:rPr>
            </w:pPr>
            <w:r>
              <w:rPr>
                <w:rFonts w:ascii="Arial" w:cs="Arial" w:eastAsia="Arial" w:hAnsi="Arial"/>
                <w:sz w:val="16"/>
                <w:szCs w:val="16"/>
                <w:color w:val="2573BA"/>
              </w:rPr>
              <w:t>1732548</w:t>
            </w:r>
          </w:p>
        </w:tc>
        <w:tc>
          <w:tcPr>
            <w:tcW w:w="100" w:type="dxa"/>
            <w:vAlign w:val="bottom"/>
          </w:tcPr>
          <w:p>
            <w:pPr>
              <w:spacing w:after="0"/>
              <w:rPr>
                <w:sz w:val="15"/>
                <w:szCs w:val="15"/>
                <w:color w:val="auto"/>
              </w:rPr>
            </w:pPr>
          </w:p>
        </w:tc>
        <w:tc>
          <w:tcPr>
            <w:tcW w:w="4960" w:type="dxa"/>
            <w:vAlign w:val="bottom"/>
            <w:gridSpan w:val="2"/>
          </w:tcPr>
          <w:p>
            <w:pPr>
              <w:ind w:left="20"/>
              <w:spacing w:after="0" w:line="174" w:lineRule="exact"/>
              <w:rPr>
                <w:sz w:val="20"/>
                <w:szCs w:val="20"/>
                <w:color w:val="auto"/>
              </w:rPr>
            </w:pPr>
            <w:r>
              <w:rPr>
                <w:rFonts w:ascii="Arial" w:cs="Arial" w:eastAsia="Arial" w:hAnsi="Arial"/>
                <w:sz w:val="16"/>
                <w:szCs w:val="16"/>
                <w:color w:val="2573BA"/>
              </w:rPr>
              <w:t>Sustained-release aminopyridine compositions for increasing</w:t>
            </w:r>
          </w:p>
        </w:tc>
        <w:tc>
          <w:tcPr>
            <w:tcW w:w="1500" w:type="dxa"/>
            <w:vAlign w:val="bottom"/>
          </w:tcPr>
          <w:p>
            <w:pPr>
              <w:jc w:val="center"/>
              <w:spacing w:after="0" w:line="174" w:lineRule="exact"/>
              <w:rPr>
                <w:sz w:val="20"/>
                <w:szCs w:val="20"/>
                <w:color w:val="auto"/>
              </w:rPr>
            </w:pPr>
            <w:r>
              <w:rPr>
                <w:rFonts w:ascii="Arial" w:cs="Arial" w:eastAsia="Arial" w:hAnsi="Arial"/>
                <w:sz w:val="15"/>
                <w:szCs w:val="15"/>
                <w:color w:val="2573BA"/>
              </w:rPr>
              <w:t>2025</w:t>
            </w:r>
            <w:r>
              <w:rPr>
                <w:rFonts w:ascii="Arial" w:cs="Arial" w:eastAsia="Arial" w:hAnsi="Arial"/>
                <w:sz w:val="20"/>
                <w:szCs w:val="20"/>
                <w:color w:val="2573BA"/>
                <w:vertAlign w:val="superscript"/>
              </w:rPr>
              <w:t>(7)</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walking speed in patients with MS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2377536</w:t>
            </w:r>
          </w:p>
        </w:tc>
        <w:tc>
          <w:tcPr>
            <w:tcW w:w="10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Sustained-release aminopyridine compositions for treating MS</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6"/>
                <w:szCs w:val="16"/>
                <w:color w:val="2573BA"/>
                <w:w w:val="94"/>
              </w:rPr>
              <w:t>2025</w:t>
            </w:r>
            <w:r>
              <w:rPr>
                <w:rFonts w:ascii="Arial" w:cs="Arial" w:eastAsia="Arial" w:hAnsi="Arial"/>
                <w:sz w:val="21"/>
                <w:szCs w:val="21"/>
                <w:color w:val="2573BA"/>
                <w:w w:val="94"/>
                <w:vertAlign w:val="superscript"/>
              </w:rPr>
              <w:t>(8)</w:t>
            </w:r>
          </w:p>
        </w:tc>
        <w:tc>
          <w:tcPr>
            <w:tcW w:w="0" w:type="dxa"/>
            <w:vAlign w:val="bottom"/>
          </w:tcPr>
          <w:p>
            <w:pPr>
              <w:spacing w:after="0"/>
              <w:rPr>
                <w:sz w:val="1"/>
                <w:szCs w:val="1"/>
                <w:color w:val="auto"/>
              </w:rPr>
            </w:pPr>
          </w:p>
        </w:tc>
      </w:tr>
      <w:tr>
        <w:trPr>
          <w:trHeight w:val="203"/>
        </w:trPr>
        <w:tc>
          <w:tcPr>
            <w:tcW w:w="1580" w:type="dxa"/>
            <w:vAlign w:val="bottom"/>
            <w:gridSpan w:val="3"/>
          </w:tcPr>
          <w:p>
            <w:pPr>
              <w:ind w:left="20"/>
              <w:spacing w:after="0"/>
              <w:rPr>
                <w:sz w:val="20"/>
                <w:szCs w:val="20"/>
                <w:color w:val="auto"/>
              </w:rPr>
            </w:pPr>
            <w:r>
              <w:rPr>
                <w:rFonts w:ascii="Arial" w:cs="Arial" w:eastAsia="Arial" w:hAnsi="Arial"/>
                <w:sz w:val="16"/>
                <w:szCs w:val="16"/>
                <w:color w:val="2573BA"/>
              </w:rPr>
              <w:t>VUMERITY</w:t>
            </w: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8,669,281</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Compounds and pharmaceutical compositions</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9,090,558</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10,080,733</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Crystalline forms, pharmaceutical compositions and methods of</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198"/>
        </w:trPr>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treatment</w:t>
            </w: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gridSpan w:val="3"/>
          </w:tcPr>
          <w:p>
            <w:pPr>
              <w:ind w:left="20"/>
              <w:spacing w:after="0"/>
              <w:rPr>
                <w:sz w:val="20"/>
                <w:szCs w:val="20"/>
                <w:color w:val="auto"/>
              </w:rPr>
            </w:pPr>
            <w:r>
              <w:rPr>
                <w:rFonts w:ascii="Arial" w:cs="Arial" w:eastAsia="Arial" w:hAnsi="Arial"/>
                <w:sz w:val="16"/>
                <w:szCs w:val="16"/>
                <w:color w:val="2573BA"/>
              </w:rPr>
              <w:t>SPINRAZA</w:t>
            </w: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7,101,993</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Oligonucleotides containing 2’-O-modified purines</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2023</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7,838,657</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sequences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8,110,560</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2025</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sequences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8,361,977</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8,980,853</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9,717,750</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9,926,559</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10,266,822</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2025</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sequences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10,436,802</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Methods for Treating Spinal Muscular Atrophy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2035</w:t>
            </w:r>
          </w:p>
        </w:tc>
        <w:tc>
          <w:tcPr>
            <w:tcW w:w="0" w:type="dxa"/>
            <w:vAlign w:val="bottom"/>
          </w:tcPr>
          <w:p>
            <w:pPr>
              <w:spacing w:after="0"/>
              <w:rPr>
                <w:sz w:val="1"/>
                <w:szCs w:val="1"/>
                <w:color w:val="auto"/>
              </w:rPr>
            </w:pPr>
          </w:p>
        </w:tc>
      </w:tr>
      <w:tr>
        <w:trPr>
          <w:trHeight w:val="221"/>
        </w:trPr>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1910395</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line="221" w:lineRule="exact"/>
              <w:rPr>
                <w:sz w:val="20"/>
                <w:szCs w:val="20"/>
                <w:color w:val="auto"/>
              </w:rPr>
            </w:pPr>
            <w:r>
              <w:rPr>
                <w:rFonts w:ascii="Arial" w:cs="Arial" w:eastAsia="Arial" w:hAnsi="Arial"/>
                <w:sz w:val="16"/>
                <w:szCs w:val="16"/>
                <w:color w:val="2573BA"/>
                <w:w w:val="94"/>
              </w:rPr>
              <w:t>2026</w:t>
            </w:r>
            <w:r>
              <w:rPr>
                <w:rFonts w:ascii="Arial" w:cs="Arial" w:eastAsia="Arial" w:hAnsi="Arial"/>
                <w:sz w:val="21"/>
                <w:szCs w:val="21"/>
                <w:color w:val="2573BA"/>
                <w:w w:val="94"/>
                <w:vertAlign w:val="superscript"/>
              </w:rPr>
              <w:t>(9)</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2548560</w:t>
            </w:r>
          </w:p>
        </w:tc>
        <w:tc>
          <w:tcPr>
            <w:tcW w:w="10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line="232" w:lineRule="exact"/>
              <w:rPr>
                <w:sz w:val="20"/>
                <w:szCs w:val="20"/>
                <w:color w:val="auto"/>
              </w:rPr>
            </w:pPr>
            <w:r>
              <w:rPr>
                <w:rFonts w:ascii="Arial" w:cs="Arial" w:eastAsia="Arial" w:hAnsi="Arial"/>
                <w:sz w:val="16"/>
                <w:szCs w:val="16"/>
                <w:color w:val="2573BA"/>
                <w:w w:val="89"/>
              </w:rPr>
              <w:t>2026</w:t>
            </w:r>
            <w:r>
              <w:rPr>
                <w:rFonts w:ascii="Arial" w:cs="Arial" w:eastAsia="Arial" w:hAnsi="Arial"/>
                <w:sz w:val="21"/>
                <w:szCs w:val="21"/>
                <w:color w:val="2573BA"/>
                <w:w w:val="89"/>
                <w:vertAlign w:val="superscript"/>
              </w:rPr>
              <w:t>(10)</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3305302</w:t>
            </w: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3308788</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3449926</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Footnotes follow on next page.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328"/>
        <w:spacing w:after="0" w:line="260"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to patent protection, certain of our products are entitled to regulatory exclusivity in the U.S. and the E.U. expected until the dates set forth below:</w:t>
      </w:r>
    </w:p>
    <w:p>
      <w:pPr>
        <w:spacing w:after="0" w:line="99" w:lineRule="exact"/>
        <w:rPr>
          <w:sz w:val="20"/>
          <w:szCs w:val="20"/>
          <w:color w:val="auto"/>
        </w:rPr>
      </w:pPr>
    </w:p>
    <w:tbl>
      <w:tblPr>
        <w:tblLayout w:type="fixed"/>
        <w:tblInd w:w="3040" w:type="dxa"/>
        <w:tblCellMar>
          <w:top w:w="0" w:type="dxa"/>
          <w:left w:w="0" w:type="dxa"/>
          <w:bottom w:w="0" w:type="dxa"/>
          <w:right w:w="0" w:type="dxa"/>
        </w:tblCellMar>
      </w:tblPr>
      <w:tr>
        <w:trPr>
          <w:trHeight w:val="189"/>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6"/>
                <w:szCs w:val="16"/>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Expiration</w:t>
            </w:r>
          </w:p>
        </w:tc>
      </w:tr>
      <w:tr>
        <w:trPr>
          <w:trHeight w:val="206"/>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TECFIDERA</w:t>
            </w:r>
          </w:p>
        </w:tc>
        <w:tc>
          <w:tcPr>
            <w:tcW w:w="120" w:type="dxa"/>
            <w:vAlign w:val="bottom"/>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7"/>
                <w:szCs w:val="17"/>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2024</w:t>
            </w:r>
          </w:p>
        </w:tc>
      </w:tr>
      <w:tr>
        <w:trPr>
          <w:trHeight w:val="207"/>
        </w:trPr>
        <w:tc>
          <w:tcPr>
            <w:tcW w:w="1200" w:type="dxa"/>
            <w:vAlign w:val="bottom"/>
            <w:gridSpan w:val="2"/>
          </w:tcPr>
          <w:p>
            <w:pPr>
              <w:spacing w:after="0"/>
              <w:rPr>
                <w:sz w:val="20"/>
                <w:szCs w:val="20"/>
                <w:color w:val="auto"/>
              </w:rPr>
            </w:pPr>
            <w:r>
              <w:rPr>
                <w:rFonts w:ascii="Arial" w:cs="Arial" w:eastAsia="Arial" w:hAnsi="Arial"/>
                <w:sz w:val="16"/>
                <w:szCs w:val="16"/>
                <w:color w:val="2573BA"/>
              </w:rPr>
              <w:t>PLEGRIDY</w:t>
            </w:r>
          </w:p>
        </w:tc>
        <w:tc>
          <w:tcPr>
            <w:tcW w:w="122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2760" w:type="dxa"/>
            <w:vAlign w:val="bottom"/>
          </w:tcPr>
          <w:p>
            <w:pPr>
              <w:ind w:left="20"/>
              <w:spacing w:after="0"/>
              <w:rPr>
                <w:sz w:val="20"/>
                <w:szCs w:val="20"/>
                <w:color w:val="auto"/>
              </w:rPr>
            </w:pPr>
            <w:r>
              <w:rPr>
                <w:rFonts w:ascii="Arial" w:cs="Arial" w:eastAsia="Arial" w:hAnsi="Arial"/>
                <w:sz w:val="16"/>
                <w:szCs w:val="16"/>
                <w:color w:val="2573BA"/>
              </w:rPr>
              <w:t>2026</w:t>
            </w:r>
          </w:p>
        </w:tc>
      </w:tr>
      <w:tr>
        <w:trPr>
          <w:trHeight w:val="219"/>
        </w:trPr>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9"/>
                <w:szCs w:val="19"/>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2024</w:t>
            </w:r>
          </w:p>
        </w:tc>
      </w:tr>
      <w:tr>
        <w:trPr>
          <w:trHeight w:val="209"/>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FAMPYRA</w:t>
            </w:r>
          </w:p>
        </w:tc>
        <w:tc>
          <w:tcPr>
            <w:tcW w:w="12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2021</w:t>
            </w:r>
          </w:p>
        </w:tc>
      </w:tr>
      <w:tr>
        <w:trPr>
          <w:trHeight w:val="207"/>
        </w:trPr>
        <w:tc>
          <w:tcPr>
            <w:tcW w:w="1200" w:type="dxa"/>
            <w:vAlign w:val="bottom"/>
            <w:gridSpan w:val="2"/>
          </w:tcPr>
          <w:p>
            <w:pPr>
              <w:spacing w:after="0"/>
              <w:rPr>
                <w:sz w:val="20"/>
                <w:szCs w:val="20"/>
                <w:color w:val="auto"/>
              </w:rPr>
            </w:pPr>
            <w:r>
              <w:rPr>
                <w:rFonts w:ascii="Arial" w:cs="Arial" w:eastAsia="Arial" w:hAnsi="Arial"/>
                <w:sz w:val="16"/>
                <w:szCs w:val="16"/>
                <w:color w:val="2573BA"/>
              </w:rPr>
              <w:t>SPINRAZA</w:t>
            </w:r>
          </w:p>
        </w:tc>
        <w:tc>
          <w:tcPr>
            <w:tcW w:w="122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2760" w:type="dxa"/>
            <w:vAlign w:val="bottom"/>
          </w:tcPr>
          <w:p>
            <w:pPr>
              <w:ind w:left="20"/>
              <w:spacing w:after="0"/>
              <w:rPr>
                <w:sz w:val="20"/>
                <w:szCs w:val="20"/>
                <w:color w:val="auto"/>
              </w:rPr>
            </w:pPr>
            <w:r>
              <w:rPr>
                <w:rFonts w:ascii="Arial" w:cs="Arial" w:eastAsia="Arial" w:hAnsi="Arial"/>
                <w:sz w:val="16"/>
                <w:szCs w:val="16"/>
                <w:color w:val="2573BA"/>
              </w:rPr>
              <w:t>2023</w:t>
            </w:r>
          </w:p>
        </w:tc>
      </w:tr>
      <w:tr>
        <w:trPr>
          <w:trHeight w:val="219"/>
        </w:trPr>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9"/>
                <w:szCs w:val="19"/>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2029</w:t>
            </w:r>
          </w:p>
        </w:tc>
      </w:tr>
    </w:tbl>
    <w:p>
      <w:pPr>
        <w:spacing w:after="0" w:line="148" w:lineRule="exact"/>
        <w:rPr>
          <w:sz w:val="20"/>
          <w:szCs w:val="20"/>
          <w:color w:val="auto"/>
        </w:rPr>
      </w:pPr>
    </w:p>
    <w:p>
      <w:pPr>
        <w:ind w:left="660" w:right="24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For additional information as to the validity of this patent, please read </w:t>
      </w:r>
      <w:r>
        <w:rPr>
          <w:rFonts w:ascii="Arial" w:cs="Arial" w:eastAsia="Arial" w:hAnsi="Arial"/>
          <w:sz w:val="16"/>
          <w:szCs w:val="16"/>
          <w:i w:val="1"/>
          <w:iCs w:val="1"/>
          <w:color w:val="auto"/>
        </w:rPr>
        <w:t>Note 20, Litigation</w:t>
      </w:r>
      <w:r>
        <w:rPr>
          <w:rFonts w:ascii="Arial" w:cs="Arial" w:eastAsia="Arial" w:hAnsi="Arial"/>
          <w:sz w:val="16"/>
          <w:szCs w:val="16"/>
          <w:color w:val="auto"/>
        </w:rPr>
        <w:t>, to our consolidated financial statements included in this report.</w:t>
      </w:r>
    </w:p>
    <w:p>
      <w:pPr>
        <w:spacing w:after="0" w:line="125"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2024.</w:t>
      </w:r>
    </w:p>
    <w:p>
      <w:pPr>
        <w:spacing w:after="0" w:line="167" w:lineRule="exact"/>
        <w:rPr>
          <w:rFonts w:ascii="Arial" w:cs="Arial" w:eastAsia="Arial" w:hAnsi="Arial"/>
          <w:sz w:val="16"/>
          <w:szCs w:val="16"/>
          <w:color w:val="auto"/>
        </w:rPr>
      </w:pPr>
    </w:p>
    <w:p>
      <w:pPr>
        <w:ind w:left="660" w:right="360" w:hanging="328"/>
        <w:spacing w:after="0" w:line="260"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was revoked in a European opposition. This decision is being appealed. This patent is subject to granted SPCs in certain European countries, which extended the patent term in those countries to 2029.</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2024.</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2026.</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2026.</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4"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products, compounds and processes and those that we will likely file in the future, do not always provide complete or adequate protection.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also face challenges to our patents, regulatory exclusivities or other proprietary rights covering our products by third-parties, such as manufacturers of generics, biosimilars, prodrugs and products approved under abbreviated regulatory pathways. A discussion of certain risks and uncertainties that may affect our patent position, regulatory exclusivities or other proprietary rights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the discussion of legal proceedings related to certain patents described above is set forth in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Competition</w:t>
      </w:r>
    </w:p>
    <w:p>
      <w:pPr>
        <w:spacing w:after="0" w:line="10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Competition in the biopharmaceutical industry is intense. There are many companies, including biotechnology and pharmaceutical companies, engaged in developing products for the indications our approved products are approved to treat and the therapeutic areas we are targeting with our research and development activities. Some of our competitors may have substantially greater financial, marketing, research and development and other resources than we do.</w:t>
      </w:r>
    </w:p>
    <w:p>
      <w:pPr>
        <w:spacing w:after="0" w:line="151"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and retaining leading scientists and technicians to conduct our research activities and advance our development programs, including with the commercial expertise to effectively market our products.</w:t>
      </w:r>
    </w:p>
    <w:p>
      <w:pPr>
        <w:spacing w:after="0" w:line="156" w:lineRule="exact"/>
        <w:rPr>
          <w:sz w:val="20"/>
          <w:szCs w:val="20"/>
          <w:color w:val="auto"/>
        </w:rPr>
      </w:pPr>
    </w:p>
    <w:p>
      <w:pPr>
        <w:ind w:right="60" w:firstLine="405"/>
        <w:spacing w:after="0"/>
        <w:rPr>
          <w:sz w:val="20"/>
          <w:szCs w:val="20"/>
          <w:color w:val="auto"/>
        </w:rPr>
      </w:pPr>
      <w:r>
        <w:rPr>
          <w:rFonts w:ascii="Arial" w:cs="Arial" w:eastAsia="Arial" w:hAnsi="Arial"/>
          <w:sz w:val="17"/>
          <w:szCs w:val="17"/>
          <w:color w:val="auto"/>
        </w:rPr>
        <w:t>Competition among products approved for sale may be based, among other things, on patent position, product efficacy, safety, patient convenience, delivery devices, reliability, availability, reimbursement and price. In addition, early entry of a new pharmaceutical product into the market may have important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negatively impact future sales of our existing products.</w:t>
      </w:r>
    </w:p>
    <w:p>
      <w:pPr>
        <w:spacing w:after="0" w:line="17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also face increased competitive pressures from the introduction of generic versions, prodrugs and biosimilars of existing products and products approved under abbreviated regulatory pathways. Such products are likely to be sold at substantially lower prices than branded products, which may significantly reduce both the price that we are able to charge for our products and the volume of products we sell. In addition, in some markets, when a generic or biosimilar version of one of our products is commercialized, it may be automatically substituted for our product and significantly reduce our revenues in a short period of time.</w:t>
      </w:r>
    </w:p>
    <w:p>
      <w:pPr>
        <w:spacing w:after="0" w:line="15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151"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 xml:space="preserve">Additional information about the competition that our marketed products face is set forth below and in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Risk Factors included in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573BA"/>
        </w:rPr>
        <w:t>Multiple Sclerosis</w:t>
      </w:r>
    </w:p>
    <w:p>
      <w:pPr>
        <w:spacing w:after="0" w:line="126"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auto"/>
        </w:rPr>
        <w:t>TECFIDERA, AVONEX, PLEGRIDY, TYSABRI and VUMERITY each compete with one or more of the following products as well as generic and biosimilar versions of such products:</w:t>
      </w:r>
    </w:p>
    <w:p>
      <w:pPr>
        <w:spacing w:after="0" w:line="115" w:lineRule="exact"/>
        <w:rPr>
          <w:sz w:val="20"/>
          <w:szCs w:val="20"/>
          <w:color w:val="auto"/>
        </w:rPr>
      </w:pPr>
    </w:p>
    <w:p>
      <w:pPr>
        <w:sectPr>
          <w:pgSz w:w="11900" w:h="16838" w:orient="portrait"/>
          <w:cols w:equalWidth="0" w:num="2">
            <w:col w:w="5200" w:space="700"/>
            <w:col w:w="5180"/>
          </w:cols>
          <w:pgMar w:left="320" w:top="144" w:right="499" w:bottom="1440" w:gutter="0" w:footer="0" w:header="0"/>
          <w:type w:val="continuous"/>
        </w:sectPr>
      </w:pP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15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introduction of new products or technologies, including the development of new processes or technologies by competitors or new information about existing products or technologies, results in increased competition for our marketed products and pricing pressure on our marketed products. The development of new or improved treatment options or standards of care or cures for the diseases our products treat reduces and could eliminate the use of our products or may limit the utility and application of ongoing clinical trials for our product candidates.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the commercialization of certain of our 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AUBAGIO (teriflunomide)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2" w:lineRule="exact"/>
        <w:rPr>
          <w:sz w:val="20"/>
          <w:szCs w:val="20"/>
          <w:color w:val="auto"/>
        </w:rPr>
      </w:pPr>
    </w:p>
    <w:p>
      <w:pPr>
        <w:ind w:right="560"/>
        <w:spacing w:after="0" w:line="229" w:lineRule="auto"/>
        <w:rPr>
          <w:sz w:val="20"/>
          <w:szCs w:val="20"/>
          <w:color w:val="auto"/>
        </w:rPr>
      </w:pPr>
      <w:r>
        <w:rPr>
          <w:rFonts w:ascii="Arial" w:cs="Arial" w:eastAsia="Arial" w:hAnsi="Arial"/>
          <w:sz w:val="14"/>
          <w:szCs w:val="14"/>
          <w:color w:val="2573BA"/>
        </w:rPr>
        <w:t>BETASERON/BETAFERON (interferon-beta-1b)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6027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2573BA"/>
        </w:rPr>
        <w:t>COPAXONE</w:t>
      </w:r>
    </w:p>
    <w:p>
      <w:pPr>
        <w:spacing w:after="0"/>
        <w:rPr>
          <w:sz w:val="20"/>
          <w:szCs w:val="20"/>
          <w:color w:val="auto"/>
        </w:rPr>
      </w:pPr>
      <w:r>
        <w:rPr>
          <w:rFonts w:ascii="Arial" w:cs="Arial" w:eastAsia="Arial" w:hAnsi="Arial"/>
          <w:sz w:val="14"/>
          <w:szCs w:val="14"/>
          <w:color w:val="2573BA"/>
        </w:rPr>
        <w:t>(glatiramer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2573BA"/>
        </w:rPr>
        <w:t>EXTAVIA</w:t>
      </w:r>
    </w:p>
    <w:p>
      <w:pPr>
        <w:spacing w:after="0"/>
        <w:rPr>
          <w:sz w:val="20"/>
          <w:szCs w:val="20"/>
          <w:color w:val="auto"/>
        </w:rPr>
      </w:pPr>
      <w:r>
        <w:rPr>
          <w:rFonts w:ascii="Arial" w:cs="Arial" w:eastAsia="Arial" w:hAnsi="Arial"/>
          <w:sz w:val="14"/>
          <w:szCs w:val="14"/>
          <w:color w:val="2573BA"/>
        </w:rPr>
        <w:t>(interferon-beta-1b)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GILENYA (fingolimod)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GLATOPA (glatiramer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LEMTRADA (alemtuzumab)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MAVENCLAD (cladribine)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MAYZENT (siponimod)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OCREVUS (ocrelizumab)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2573BA"/>
        </w:rPr>
        <w:t>REBIF</w:t>
      </w:r>
    </w:p>
    <w:p>
      <w:pPr>
        <w:spacing w:after="0"/>
        <w:rPr>
          <w:sz w:val="20"/>
          <w:szCs w:val="20"/>
          <w:color w:val="auto"/>
        </w:rPr>
      </w:pPr>
      <w:r>
        <w:rPr>
          <w:rFonts w:ascii="Arial" w:cs="Arial" w:eastAsia="Arial" w:hAnsi="Arial"/>
          <w:sz w:val="14"/>
          <w:szCs w:val="14"/>
          <w:color w:val="2573BA"/>
        </w:rPr>
        <w:t>(interferon-beta-1)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ZEPOSIA (ozanimod)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BAFIERTAM (monomethyl 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KESIMPTA (ofatumumab)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602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Sanofi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Bayer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1619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Teva Pharmaceuticals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1619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1619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Sandoz, a division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Sanofi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EMD Serono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EMD Serono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16198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BMS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Banner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3">
            <w:col w:w="5200" w:space="720"/>
            <w:col w:w="2340" w:space="300"/>
            <w:col w:w="2520"/>
          </w:cols>
          <w:pgMar w:left="320" w:top="144" w:right="49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approved products, products of our collaborators and pipeline product candidates may</w:t>
      </w:r>
    </w:p>
    <w:p>
      <w:pPr>
        <w:spacing w:after="0" w:line="20" w:lineRule="exact"/>
        <w:rPr>
          <w:sz w:val="20"/>
          <w:szCs w:val="20"/>
          <w:color w:val="auto"/>
        </w:rPr>
      </w:pPr>
      <w:r>
        <w:rPr>
          <w:sz w:val="20"/>
          <w:szCs w:val="20"/>
          <w:color w:val="auto"/>
        </w:rPr>
        <w:br w:type="column"/>
      </w:r>
    </w:p>
    <w:p>
      <w:pPr>
        <w:ind w:left="380" w:right="60" w:firstLine="445"/>
        <w:spacing w:after="0" w:line="253" w:lineRule="auto"/>
        <w:rPr>
          <w:sz w:val="20"/>
          <w:szCs w:val="20"/>
          <w:color w:val="auto"/>
        </w:rPr>
      </w:pPr>
      <w:r>
        <w:rPr>
          <w:rFonts w:ascii="Arial" w:cs="Arial" w:eastAsia="Arial" w:hAnsi="Arial"/>
          <w:sz w:val="18"/>
          <w:szCs w:val="18"/>
          <w:color w:val="auto"/>
        </w:rPr>
        <w:t>In addition, multiple TECFIDERA generic entrants are now in the U.S. market and have deeply discounted prices compared to TECFIDERA. The generic competition for TECFIDERA significantly reduced our TECFIDERA revenues during the year ended December 31, 2020, and is expected to have 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620"/>
            <w:col w:w="5560"/>
          </w:cols>
          <w:pgMar w:left="320" w:top="144" w:right="49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substantial negative impact on our TECFIDERA revenues for as long as there is generic competition.</w:t>
      </w:r>
    </w:p>
    <w:p>
      <w:pPr>
        <w:spacing w:after="0" w:line="9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FAMPYRA is indicated as a treatment to improve walking in adult patients with MS who have a walking disability and is the first treatment that addresses this unmet medical need with demonstrated efficacy in people with all types of MS. FAMPYRA is currently the only therapy approved to improve walking in patients with MS.</w:t>
      </w:r>
    </w:p>
    <w:p>
      <w:pPr>
        <w:spacing w:after="0" w:line="10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Competition in the MS market is intense. Along with us, a number of companies are working to develop additional treatments for MS that may in the future compete with our MS products. One such product that was approved in the U.S. in 2017 and in the E.U. in 2018 is OCREVUS, a treatment for RMS and PPMS that was developed by Genentech. While we have a financial interest in OCREVUS, future sales of our MS products may be adversely affected if OCREVUS continues to gain market share, or if other MS products that we or our competitors are developing are commercialized</w:t>
      </w:r>
      <w:r>
        <w:rPr>
          <w:rFonts w:ascii="Arial" w:cs="Arial" w:eastAsia="Arial" w:hAnsi="Arial"/>
          <w:sz w:val="18"/>
          <w:szCs w:val="18"/>
          <w:b w:val="1"/>
          <w:bCs w:val="1"/>
          <w:color w:val="auto"/>
        </w:rPr>
        <w: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Spinal Muscular Atrophy</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face competition from a gene therapy product that was approved in the U.S. and the E.U. and a new oral product that was approved in the U.S. and has been accepted for review in the E.U. We expect that we will experience competition from both products in additional jurisdictions in the future. Additionally, we are aware of other products now in development that, if launched, may also compete with SPINRAZA. Future sales of SPINRAZA may be adversely affected by the commercialization of competing products.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Psoriasis</w:t>
      </w:r>
    </w:p>
    <w:p>
      <w:pPr>
        <w:spacing w:after="0" w:line="126"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FUMADERM competes with several different types of therapies in the psoriasis market within Germany, including oral systemics such as methotrexate and cyclosporine.</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Biosimilars</w:t>
      </w:r>
    </w:p>
    <w:p>
      <w:pPr>
        <w:spacing w:after="0" w:line="126"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BENEPALI, IMRALDI and FLIXABI, the three biosimilar products we currently commercialize in certain countries in Europe for Samsung Bioepis, compete with their reference products, ENBREL, HUMIRA and REMICADE, respectively, as well as other biosimilars of those reference products.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Genentech Relationships in Other Indications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RITUXAN, RITUXAN HYCELA and GAZYVA in Oncology</w:t>
      </w:r>
    </w:p>
    <w:p>
      <w:pPr>
        <w:spacing w:after="0" w:line="12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RITUXAN, RITUXAN HYCELA and GAZYVA compete with a number of therapies in the oncology market, including TREANDA (bendamustine HCL), ARZERRA (ofatumumab), IMBRUVICA (ibrutinib) and ZYDELIG (idelalisib).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20" w:firstLine="445"/>
        <w:spacing w:after="0" w:line="267" w:lineRule="auto"/>
        <w:rPr>
          <w:sz w:val="20"/>
          <w:szCs w:val="20"/>
          <w:color w:val="auto"/>
        </w:rPr>
      </w:pPr>
      <w:r>
        <w:rPr>
          <w:rFonts w:ascii="Arial" w:cs="Arial" w:eastAsia="Arial" w:hAnsi="Arial"/>
          <w:sz w:val="17"/>
          <w:szCs w:val="17"/>
          <w:color w:val="auto"/>
        </w:rPr>
        <w:t>We also expect that over time RITUXAN HYCELA and GAZYVA will increasingly compete with RITUXAN in the oncology market. In addition, we are aware of several other anti-CD20 molecules, including biosimilar products, that have recently been approved and are expected to compete with RITUXAN, RITUXAN HYCELA and GAZYVA in the oncology market. In November 2019, January 2020 and January 2021 biosimilar products referencing RITUXAN were launched in the U.S and are being offered at lower prices. This competition has adversely affected the pre -tax profits of our collaboration arrangements with Genentech and could have a significant adverse affect our co-promotion profits in the U.S. in future years.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RITUXAN in Rheumatoid Arthritis</w:t>
      </w:r>
    </w:p>
    <w:p>
      <w:pPr>
        <w:spacing w:after="0" w:line="135" w:lineRule="exact"/>
        <w:rPr>
          <w:sz w:val="20"/>
          <w:szCs w:val="20"/>
          <w:color w:val="auto"/>
        </w:rPr>
      </w:pPr>
    </w:p>
    <w:p>
      <w:pPr>
        <w:ind w:left="380" w:right="200" w:firstLine="445"/>
        <w:spacing w:after="0" w:line="252" w:lineRule="auto"/>
        <w:rPr>
          <w:sz w:val="20"/>
          <w:szCs w:val="20"/>
          <w:color w:val="auto"/>
        </w:rPr>
      </w:pPr>
      <w:r>
        <w:rPr>
          <w:rFonts w:ascii="Arial" w:cs="Arial" w:eastAsia="Arial" w:hAnsi="Arial"/>
          <w:sz w:val="18"/>
          <w:szCs w:val="18"/>
          <w:color w:val="auto"/>
        </w:rPr>
        <w:t>RITUXAN competes with several different types of therapies in the rheumatoid arthritis market, including, among others, traditional disease-modifying anti-rheumatic drugs such as steroids, methotrexate and cyclosporine, TNF inhibitors, ORENCIA (abatacept), ACTEMRA (tocilizumab) and XELJANZ (tofacitinib).</w:t>
      </w:r>
    </w:p>
    <w:p>
      <w:pPr>
        <w:spacing w:after="0" w:line="100" w:lineRule="exact"/>
        <w:rPr>
          <w:sz w:val="20"/>
          <w:szCs w:val="20"/>
          <w:color w:val="auto"/>
        </w:rPr>
      </w:pPr>
    </w:p>
    <w:p>
      <w:pPr>
        <w:jc w:val="both"/>
        <w:ind w:left="380" w:right="80" w:firstLine="445"/>
        <w:spacing w:after="0" w:line="256" w:lineRule="auto"/>
        <w:rPr>
          <w:sz w:val="20"/>
          <w:szCs w:val="20"/>
          <w:color w:val="auto"/>
        </w:rPr>
      </w:pPr>
      <w:r>
        <w:rPr>
          <w:rFonts w:ascii="Arial" w:cs="Arial" w:eastAsia="Arial" w:hAnsi="Arial"/>
          <w:sz w:val="18"/>
          <w:szCs w:val="18"/>
          <w:color w:val="auto"/>
        </w:rPr>
        <w:t>We are also aware of other products, including biosimilars, in development that, if approved, may compete with RITUXAN in the rheumatoid arthritis market.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Research and Development Programs</w:t>
      </w:r>
    </w:p>
    <w:p>
      <w:pPr>
        <w:spacing w:after="0" w:line="103"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A commitment to research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growing capabilities in small molecule, antisense, gene therapy, gene editing and other technologies, we target specific medical needs where we believe new or better treatments are needed.</w:t>
      </w:r>
    </w:p>
    <w:p>
      <w:pPr>
        <w:spacing w:after="0" w:line="90" w:lineRule="exact"/>
        <w:rPr>
          <w:sz w:val="20"/>
          <w:szCs w:val="20"/>
          <w:color w:val="auto"/>
        </w:rPr>
      </w:pPr>
    </w:p>
    <w:p>
      <w:pPr>
        <w:ind w:left="380" w:right="120" w:firstLine="445"/>
        <w:spacing w:after="0" w:line="251" w:lineRule="auto"/>
        <w:rPr>
          <w:sz w:val="20"/>
          <w:szCs w:val="20"/>
          <w:color w:val="auto"/>
        </w:rPr>
      </w:pPr>
      <w:r>
        <w:rPr>
          <w:rFonts w:ascii="Arial" w:cs="Arial" w:eastAsia="Arial" w:hAnsi="Arial"/>
          <w:sz w:val="18"/>
          <w:szCs w:val="18"/>
          <w:color w:val="auto"/>
        </w:rPr>
        <w:t>We intend to continue committing significant resources to targeted research and development opportunities where there is a significant unmet need and where a drug candidate has the potential to be highly differentiated.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90"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 xml:space="preserve">For additional information on our research and development expense included in our consolidated statements of income, please read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included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 xml:space="preserve">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44450</wp:posOffset>
            </wp:positionV>
            <wp:extent cx="2374265" cy="39090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74265" cy="390906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2573BA"/>
        </w:rPr>
        <w:t>Core</w:t>
      </w:r>
    </w:p>
    <w:p>
      <w:pPr>
        <w:jc w:val="center"/>
        <w:ind w:left="60"/>
        <w:spacing w:after="0" w:line="201" w:lineRule="auto"/>
        <w:rPr>
          <w:sz w:val="20"/>
          <w:szCs w:val="20"/>
          <w:color w:val="auto"/>
        </w:rPr>
      </w:pPr>
      <w:r>
        <w:rPr>
          <w:rFonts w:ascii="Arial" w:cs="Arial" w:eastAsia="Arial" w:hAnsi="Arial"/>
          <w:sz w:val="14"/>
          <w:szCs w:val="14"/>
          <w:b w:val="1"/>
          <w:bCs w:val="1"/>
          <w:color w:val="2573BA"/>
        </w:rPr>
        <w:t>Growth</w:t>
      </w:r>
    </w:p>
    <w:p>
      <w:pPr>
        <w:jc w:val="center"/>
        <w:ind w:left="60"/>
        <w:spacing w:after="0"/>
        <w:rPr>
          <w:sz w:val="20"/>
          <w:szCs w:val="20"/>
          <w:color w:val="auto"/>
        </w:rPr>
      </w:pPr>
      <w:r>
        <w:rPr>
          <w:rFonts w:ascii="Arial" w:cs="Arial" w:eastAsia="Arial" w:hAnsi="Arial"/>
          <w:sz w:val="14"/>
          <w:szCs w:val="14"/>
          <w:b w:val="1"/>
          <w:bCs w:val="1"/>
          <w:color w:val="2573BA"/>
        </w:rPr>
        <w:t>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2573BA"/>
        </w:rPr>
        <w:t>Emerging</w:t>
      </w:r>
    </w:p>
    <w:p>
      <w:pPr>
        <w:jc w:val="center"/>
        <w:ind w:left="60"/>
        <w:spacing w:after="0" w:line="201" w:lineRule="auto"/>
        <w:rPr>
          <w:sz w:val="20"/>
          <w:szCs w:val="20"/>
          <w:color w:val="auto"/>
        </w:rPr>
      </w:pPr>
      <w:r>
        <w:rPr>
          <w:rFonts w:ascii="Arial" w:cs="Arial" w:eastAsia="Arial" w:hAnsi="Arial"/>
          <w:sz w:val="14"/>
          <w:szCs w:val="14"/>
          <w:b w:val="1"/>
          <w:bCs w:val="1"/>
          <w:color w:val="2573BA"/>
        </w:rPr>
        <w:t>Growth</w:t>
      </w:r>
    </w:p>
    <w:p>
      <w:pPr>
        <w:jc w:val="center"/>
        <w:ind w:left="60"/>
        <w:spacing w:after="0"/>
        <w:rPr>
          <w:sz w:val="20"/>
          <w:szCs w:val="20"/>
          <w:color w:val="auto"/>
        </w:rPr>
      </w:pPr>
      <w:r>
        <w:rPr>
          <w:rFonts w:ascii="Arial" w:cs="Arial" w:eastAsia="Arial" w:hAnsi="Arial"/>
          <w:sz w:val="14"/>
          <w:szCs w:val="14"/>
          <w:b w:val="1"/>
          <w:bCs w:val="1"/>
          <w:color w:val="2573BA"/>
        </w:rPr>
        <w:t>Areas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MS and Neuroimmunology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Alzheimer's Disease and Dementia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Neuromuscular Disorders,</w:t>
      </w:r>
    </w:p>
    <w:p>
      <w:pPr>
        <w:ind w:left="380"/>
        <w:spacing w:after="0"/>
        <w:rPr>
          <w:sz w:val="20"/>
          <w:szCs w:val="20"/>
          <w:color w:val="auto"/>
        </w:rPr>
      </w:pPr>
      <w:r>
        <w:rPr>
          <w:rFonts w:ascii="Arial" w:cs="Arial" w:eastAsia="Arial" w:hAnsi="Arial"/>
          <w:sz w:val="14"/>
          <w:szCs w:val="14"/>
          <w:b w:val="1"/>
          <w:bCs w:val="1"/>
          <w:color w:val="auto"/>
        </w:rPr>
        <w:t>including SMA and 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Parkinson's Disease and</w:t>
      </w:r>
    </w:p>
    <w:p>
      <w:pPr>
        <w:jc w:val="center"/>
        <w:ind w:right="60"/>
        <w:spacing w:after="0"/>
        <w:rPr>
          <w:sz w:val="20"/>
          <w:szCs w:val="20"/>
          <w:color w:val="auto"/>
        </w:rPr>
      </w:pPr>
      <w:r>
        <w:rPr>
          <w:rFonts w:ascii="Arial" w:cs="Arial" w:eastAsia="Arial" w:hAnsi="Arial"/>
          <w:sz w:val="14"/>
          <w:szCs w:val="14"/>
          <w:b w:val="1"/>
          <w:bCs w:val="1"/>
          <w:color w:val="auto"/>
        </w:rPr>
        <w:t>Movement Disorders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Ophthalmology</w:t>
      </w: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Neuropsychiatry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231775</wp:posOffset>
            </wp:positionV>
            <wp:extent cx="2374265" cy="1680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74265" cy="168021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Immunology</w:t>
      </w: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Acute Neurology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Neuropathic Pain</w:t>
      </w: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Biosimilars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BIIB061 (oral remyelination) - MS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BIIB091 (BTK inhibitor) - MS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BIIB107 (anti-VLA4) - MS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Aducanumab (Aβ mAb)</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Alzheimer's</w:t>
            </w:r>
          </w:p>
        </w:tc>
        <w:tc>
          <w:tcPr>
            <w:tcW w:w="100" w:type="dxa"/>
            <w:vAlign w:val="bottom"/>
          </w:tcPr>
          <w:p>
            <w:pPr>
              <w:spacing w:after="0"/>
              <w:rPr>
                <w:sz w:val="18"/>
                <w:szCs w:val="18"/>
                <w:color w:val="auto"/>
              </w:rPr>
            </w:pPr>
          </w:p>
        </w:tc>
        <w:tc>
          <w:tcPr>
            <w:tcW w:w="2580" w:type="dxa"/>
            <w:vAlign w:val="bottom"/>
            <w:gridSpan w:val="3"/>
            <w:shd w:val="clear" w:color="auto" w:fill="000000"/>
          </w:tcPr>
          <w:p>
            <w:pPr>
              <w:jc w:val="center"/>
              <w:spacing w:after="0"/>
              <w:rPr>
                <w:sz w:val="20"/>
                <w:szCs w:val="20"/>
                <w:color w:val="auto"/>
              </w:rPr>
            </w:pPr>
            <w:r>
              <w:rPr>
                <w:rFonts w:ascii="Arial" w:cs="Arial" w:eastAsia="Arial" w:hAnsi="Arial"/>
                <w:sz w:val="14"/>
                <w:szCs w:val="14"/>
                <w:color w:val="FFFFFF"/>
              </w:rPr>
              <w:t>Filed in U.S., E.U. and Japan</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BAN2401 (lecanemab)</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Alzheimer's</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BIIB092 (gosuranemab) - Alzheimer's</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BIIB076 (anti-tau mAb) - Alzheimer's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BIIB080 (tau ASO) - Alzheimer's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BIIB067 (tofersen) - ALS</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BIIB078 (IONIS-C9</w:t>
            </w:r>
            <w:r>
              <w:rPr>
                <w:rFonts w:ascii="Arial" w:cs="Arial" w:eastAsia="Arial" w:hAnsi="Arial"/>
                <w:sz w:val="9"/>
                <w:szCs w:val="9"/>
                <w:b w:val="1"/>
                <w:bCs w:val="1"/>
                <w:color w:val="auto"/>
              </w:rPr>
              <w:t>Rx</w:t>
            </w: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BIIB105 (ataxin-2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BIIB100 (XP01 inhibitor) - ALS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BIIB110 (ActRIIA/B ligand trap) - SMA</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BIIB124 (SAGE-324)* - Essential Tremor</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BIIB094 (ION859)</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Parkinson's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BIIB118 (CK1 inhibitor) - ISWRD in Parkinson's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BIIB101 (ION464)</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Multiple System Atrophy</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BIIB122 (DNL151)</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Parkinson's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BIIB111 (timrepigene emparvovec) - CHM</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BIIB112 (RPGR gene therapy) - XLRP</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2/3</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BIIB125 (zuranolone)* - PPD</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BIIB125 (zuranolone)* - MDD</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BIIB104 (AMPA PAM) - CIAS</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Dapirolizumab pegol (anti-CD40L)* - SLE</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BIIB059 (anti-BDCA2) - CLE/SLE</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BBDC7F"/>
          </w:tcPr>
          <w:p>
            <w:pPr>
              <w:ind w:left="20"/>
              <w:spacing w:after="0"/>
              <w:rPr>
                <w:sz w:val="20"/>
                <w:szCs w:val="20"/>
                <w:color w:val="auto"/>
              </w:rPr>
            </w:pPr>
            <w:r>
              <w:rPr>
                <w:rFonts w:ascii="Arial" w:cs="Arial" w:eastAsia="Arial" w:hAnsi="Arial"/>
                <w:sz w:val="14"/>
                <w:szCs w:val="14"/>
                <w:b w:val="1"/>
                <w:bCs w:val="1"/>
                <w:color w:val="auto"/>
              </w:rPr>
              <w:t>BIIB093 (glibenclamide IV) - LHI</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Stroke</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BDC7F"/>
          </w:tcPr>
          <w:p>
            <w:pPr>
              <w:ind w:left="20"/>
              <w:spacing w:after="0"/>
              <w:rPr>
                <w:sz w:val="20"/>
                <w:szCs w:val="20"/>
                <w:color w:val="auto"/>
              </w:rPr>
            </w:pPr>
            <w:r>
              <w:rPr>
                <w:rFonts w:ascii="Arial" w:cs="Arial" w:eastAsia="Arial" w:hAnsi="Arial"/>
                <w:sz w:val="14"/>
                <w:szCs w:val="14"/>
                <w:b w:val="1"/>
                <w:bCs w:val="1"/>
                <w:color w:val="auto"/>
              </w:rPr>
              <w:t>TMS-007</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Acute Ischemic Stroke</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BBDC7F"/>
          </w:tcPr>
          <w:p>
            <w:pPr>
              <w:ind w:left="20"/>
              <w:spacing w:after="0"/>
              <w:rPr>
                <w:sz w:val="20"/>
                <w:szCs w:val="20"/>
                <w:color w:val="auto"/>
              </w:rPr>
            </w:pPr>
            <w:r>
              <w:rPr>
                <w:rFonts w:ascii="Arial" w:cs="Arial" w:eastAsia="Arial" w:hAnsi="Arial"/>
                <w:sz w:val="14"/>
                <w:szCs w:val="14"/>
                <w:b w:val="1"/>
                <w:bCs w:val="1"/>
                <w:color w:val="auto"/>
              </w:rPr>
              <w:t>BIIB093 (glibenclamide IV) - Brain Contusion</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BIIB074 (vixotrigine) - Trigeminal Neuralgia</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BIIB074 (vixotrigine) - Small Fiber Neuropathy</w:t>
            </w:r>
          </w:p>
        </w:tc>
        <w:tc>
          <w:tcPr>
            <w:tcW w:w="100" w:type="dxa"/>
            <w:vAlign w:val="bottom"/>
          </w:tcPr>
          <w:p>
            <w:pPr>
              <w:spacing w:after="0"/>
              <w:rPr>
                <w:sz w:val="18"/>
                <w:szCs w:val="18"/>
                <w:color w:val="auto"/>
              </w:rPr>
            </w:pPr>
          </w:p>
        </w:tc>
        <w:tc>
          <w:tcPr>
            <w:tcW w:w="1860" w:type="dxa"/>
            <w:vAlign w:val="bottom"/>
            <w:gridSpan w:val="2"/>
            <w:shd w:val="clear" w:color="auto" w:fill="2573BA"/>
          </w:tcPr>
          <w:p>
            <w:pPr>
              <w:jc w:val="center"/>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BIIB095 (Nav 1.7) - Neuropathic Pain</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00" w:type="dxa"/>
            <w:vAlign w:val="bottom"/>
            <w:gridSpan w:val="2"/>
          </w:tcPr>
          <w:p>
            <w:pPr>
              <w:spacing w:after="0"/>
              <w:rPr>
                <w:sz w:val="18"/>
                <w:szCs w:val="18"/>
                <w:color w:val="auto"/>
              </w:rPr>
            </w:pP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80" w:type="dxa"/>
            <w:vAlign w:val="bottom"/>
            <w:gridSpan w:val="3"/>
          </w:tcPr>
          <w:p>
            <w:pPr>
              <w:spacing w:after="0"/>
              <w:rPr>
                <w:sz w:val="4"/>
                <w:szCs w:val="4"/>
                <w:color w:val="auto"/>
              </w:rPr>
            </w:pPr>
          </w:p>
        </w:tc>
      </w:tr>
      <w:tr>
        <w:trPr>
          <w:trHeight w:val="216"/>
        </w:trPr>
        <w:tc>
          <w:tcPr>
            <w:tcW w:w="38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auto"/>
              </w:rPr>
              <w:t>SB11 (referencing LUCENTIS)</w:t>
            </w:r>
            <w:r>
              <w:rPr>
                <w:rFonts w:ascii="Arial" w:cs="Arial" w:eastAsia="Arial" w:hAnsi="Arial"/>
                <w:sz w:val="18"/>
                <w:szCs w:val="18"/>
                <w:b w:val="1"/>
                <w:bCs w:val="1"/>
                <w:color w:val="auto"/>
                <w:vertAlign w:val="superscript"/>
              </w:rPr>
              <w:t>*</w:t>
            </w:r>
          </w:p>
        </w:tc>
        <w:tc>
          <w:tcPr>
            <w:tcW w:w="100" w:type="dxa"/>
            <w:vAlign w:val="bottom"/>
          </w:tcPr>
          <w:p>
            <w:pPr>
              <w:spacing w:after="0"/>
              <w:rPr>
                <w:sz w:val="18"/>
                <w:szCs w:val="18"/>
                <w:color w:val="auto"/>
              </w:rPr>
            </w:pPr>
          </w:p>
        </w:tc>
        <w:tc>
          <w:tcPr>
            <w:tcW w:w="2580" w:type="dxa"/>
            <w:vAlign w:val="bottom"/>
            <w:gridSpan w:val="3"/>
            <w:shd w:val="clear" w:color="auto" w:fill="000000"/>
          </w:tcPr>
          <w:p>
            <w:pPr>
              <w:jc w:val="center"/>
              <w:spacing w:after="0"/>
              <w:rPr>
                <w:sz w:val="20"/>
                <w:szCs w:val="20"/>
                <w:color w:val="auto"/>
              </w:rPr>
            </w:pPr>
            <w:r>
              <w:rPr>
                <w:rFonts w:ascii="Arial" w:cs="Arial" w:eastAsia="Arial" w:hAnsi="Arial"/>
                <w:sz w:val="14"/>
                <w:szCs w:val="14"/>
                <w:color w:val="FFFFFF"/>
              </w:rPr>
              <w:t>Filed in U.S. and E.U.</w:t>
            </w:r>
          </w:p>
        </w:tc>
      </w:tr>
      <w:tr>
        <w:trPr>
          <w:trHeight w:val="54"/>
        </w:trPr>
        <w:tc>
          <w:tcPr>
            <w:tcW w:w="3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16"/>
        </w:trPr>
        <w:tc>
          <w:tcPr>
            <w:tcW w:w="38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auto"/>
              </w:rPr>
              <w:t>SB15 (referencing EYLEA)</w:t>
            </w:r>
            <w:r>
              <w:rPr>
                <w:rFonts w:ascii="Arial" w:cs="Arial" w:eastAsia="Arial" w:hAnsi="Arial"/>
                <w:sz w:val="18"/>
                <w:szCs w:val="18"/>
                <w:b w:val="1"/>
                <w:bCs w:val="1"/>
                <w:color w:val="auto"/>
                <w:vertAlign w:val="superscript"/>
              </w:rPr>
              <w:t>*</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00" w:type="dxa"/>
            <w:vAlign w:val="bottom"/>
            <w:gridSpan w:val="2"/>
            <w:shd w:val="clear" w:color="auto" w:fill="1C5A7D"/>
          </w:tcPr>
          <w:p>
            <w:pPr>
              <w:jc w:val="center"/>
              <w:ind w:right="760"/>
              <w:spacing w:after="0"/>
              <w:rPr>
                <w:sz w:val="20"/>
                <w:szCs w:val="20"/>
                <w:color w:val="auto"/>
              </w:rPr>
            </w:pPr>
            <w:r>
              <w:rPr>
                <w:rFonts w:ascii="Arial" w:cs="Arial" w:eastAsia="Arial" w:hAnsi="Arial"/>
                <w:sz w:val="14"/>
                <w:szCs w:val="14"/>
                <w:color w:val="FFFFFF"/>
              </w:rPr>
              <w:t>Phase 3</w:t>
            </w:r>
          </w:p>
        </w:tc>
      </w:tr>
    </w:tbl>
    <w:p>
      <w:pPr>
        <w:spacing w:after="0" w:line="99" w:lineRule="exact"/>
        <w:rPr>
          <w:sz w:val="20"/>
          <w:szCs w:val="20"/>
          <w:color w:val="auto"/>
        </w:rPr>
      </w:pPr>
    </w:p>
    <w:p>
      <w:pPr>
        <w:sectPr>
          <w:pgSz w:w="11900" w:h="16838" w:orient="portrait"/>
          <w:cols w:equalWidth="0" w:num="3">
            <w:col w:w="840" w:space="720"/>
            <w:col w:w="2440" w:space="720"/>
            <w:col w:w="6500"/>
          </w:cols>
          <w:pgMar w:left="320" w:top="144" w:right="359" w:bottom="1440" w:gutter="0" w:footer="0" w:header="0"/>
          <w:type w:val="continuous"/>
        </w:sectPr>
      </w:pPr>
    </w:p>
    <w:p>
      <w:pPr>
        <w:ind w:left="100" w:hanging="92"/>
        <w:spacing w:after="0"/>
        <w:tabs>
          <w:tab w:leader="none" w:pos="1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Collaboration program</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Option agreement</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Large Hemispheric Infarction (LHI); postpartum depression (PPD); major depressive disorder (MDD)</w:t>
      </w:r>
    </w:p>
    <w:p>
      <w:pPr>
        <w:spacing w:after="0" w:line="139" w:lineRule="exact"/>
        <w:rPr>
          <w:sz w:val="20"/>
          <w:szCs w:val="20"/>
          <w:color w:val="auto"/>
        </w:rPr>
      </w:pPr>
    </w:p>
    <w:p>
      <w:pPr>
        <w:jc w:val="both"/>
        <w:ind w:right="40" w:firstLine="445"/>
        <w:spacing w:after="0" w:line="266" w:lineRule="auto"/>
        <w:rPr>
          <w:sz w:val="20"/>
          <w:szCs w:val="20"/>
          <w:color w:val="auto"/>
        </w:rPr>
      </w:pPr>
      <w:r>
        <w:rPr>
          <w:rFonts w:ascii="Arial" w:cs="Arial" w:eastAsia="Arial" w:hAnsi="Arial"/>
          <w:sz w:val="18"/>
          <w:szCs w:val="18"/>
          <w:color w:val="auto"/>
        </w:rPr>
        <w:t xml:space="preserve">For information about certain of our agreements with collaborators and other third parties, please read the subsection entitled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below and</w:t>
      </w:r>
      <w:r>
        <w:rPr>
          <w:rFonts w:ascii="Arial" w:cs="Arial" w:eastAsia="Arial" w:hAnsi="Arial"/>
          <w:sz w:val="18"/>
          <w:szCs w:val="18"/>
          <w:i w:val="1"/>
          <w:iCs w:val="1"/>
          <w:color w:val="auto"/>
        </w:rPr>
        <w:t xml:space="preserve"> Note 2, Acquisitions</w:t>
      </w:r>
      <w:r>
        <w:rPr>
          <w:rFonts w:ascii="Arial" w:cs="Arial" w:eastAsia="Arial" w:hAnsi="Arial"/>
          <w:sz w:val="18"/>
          <w:szCs w:val="18"/>
          <w:color w:val="auto"/>
        </w:rPr>
        <w:t>,</w:t>
      </w:r>
      <w:r>
        <w:rPr>
          <w:rFonts w:ascii="Arial" w:cs="Arial" w:eastAsia="Arial" w:hAnsi="Arial"/>
          <w:sz w:val="18"/>
          <w:szCs w:val="18"/>
          <w:i w:val="1"/>
          <w:iCs w:val="1"/>
          <w:color w:val="auto"/>
        </w:rPr>
        <w:t xml:space="preserve"> Note 18,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Business Relationships</w:t>
      </w:r>
    </w:p>
    <w:p>
      <w:pPr>
        <w:spacing w:after="0" w:line="11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As part of our business strategy, we establish business relationships, including entering into licenses,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15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 xml:space="preserve">Below is a brief description of certain business relationships and collaborations that expand our pipeline and provide us with certain rights to existing and potential new products and technologies. For additional information on certain of these relationships, including their ongoing financial and accounting impact on our business,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18,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 </w:t>
      </w:r>
      <w:r>
        <w:rPr>
          <w:rFonts w:ascii="Arial" w:cs="Arial" w:eastAsia="Arial" w:hAnsi="Arial"/>
          <w:sz w:val="18"/>
          <w:szCs w:val="18"/>
          <w:color w:val="auto"/>
        </w:rPr>
        <w:t>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Acorda Therapeutics, Inc.</w:t>
      </w:r>
    </w:p>
    <w:p>
      <w:pPr>
        <w:spacing w:after="0" w:line="11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have a collaboration and license agreement with Acorda to develop and commercialize products containing fampridine, such as FAMPYRA, in markets outside the U.S. We are responsible for all regulatory activities and the future clinical development of related products in those markets.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Alkermes</w:t>
      </w:r>
    </w:p>
    <w:p>
      <w:pPr>
        <w:spacing w:after="0" w:line="12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have an exclusive license and collaboration agreement with Alkermes for VUMERITY, which was approved for the treatment of RMS in the U.S. in October 2019 and became commercially available in the U.S. in November 2019. Under this agreement, we have an exclusive, worldwide license to develop and commercialize VUMERITY.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Bristol-Myers Squibb Company</w:t>
      </w:r>
    </w:p>
    <w:p>
      <w:pPr>
        <w:spacing w:after="0" w:line="12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have an exclusive license agreement with Bristol-Myers Squibb Company (BMS) for the development and potential commercialization of BIIB092 (gosuranemab), a Phase 2 investigational therapy in Alzheimer's disease. Under this agreement, we received worldwide rights to gosuranemab and are responsible for the full development and potential commercialization of gosuranemab in Alzheimer's disease.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Denali Therapeutics Inc.</w:t>
      </w:r>
    </w:p>
    <w:p>
      <w:pPr>
        <w:spacing w:after="0" w:line="139" w:lineRule="exact"/>
        <w:rPr>
          <w:sz w:val="20"/>
          <w:szCs w:val="20"/>
          <w:color w:val="auto"/>
        </w:rPr>
      </w:pPr>
    </w:p>
    <w:p>
      <w:pPr>
        <w:ind w:left="380" w:right="80" w:firstLine="405"/>
        <w:spacing w:after="0" w:line="252" w:lineRule="auto"/>
        <w:rPr>
          <w:sz w:val="20"/>
          <w:szCs w:val="20"/>
          <w:color w:val="auto"/>
        </w:rPr>
      </w:pPr>
      <w:r>
        <w:rPr>
          <w:rFonts w:ascii="Arial" w:cs="Arial" w:eastAsia="Arial" w:hAnsi="Arial"/>
          <w:sz w:val="18"/>
          <w:szCs w:val="18"/>
          <w:color w:val="auto"/>
        </w:rPr>
        <w:t>We have a collaboration and license agreement with Denali to co-develop and co-commercialize Denali’s small molecule inhibitors of LRRK2 for Parkinson’s disease. In the LRRK2 collaboration, we and Denali share responsibility and costs for global development as well as profits and losses for commercialization in the U.S. and China. Outside the U.S. and China, we are responsible for commercialization and pay Denali tiered royalties.</w:t>
      </w:r>
    </w:p>
    <w:p>
      <w:pPr>
        <w:spacing w:after="0" w:line="97"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In addition to the LRRK2 program, we also have an exclusive option to license two preclinical programs from Denali’s Transport Vehicle platform, including its Antibody Transport Vehicle: Abeta program and a second program utilizing its Transport Vehicle technology. Further, we have a right of first negotiation on two additional Transport Vehicle-enabled therapeutics, should Denali decide to seek a collaboration for such programs.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Eisai Co., Ltd.</w:t>
      </w:r>
    </w:p>
    <w:p>
      <w:pPr>
        <w:spacing w:after="0" w:line="126"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We have a collaboration agreement with Eisai to jointly develop and commercialize BAN2401, an Eisai product candidate for the potential treatment of Alzheimer's disease. Eisai serves as the global operational and regulatory lead for BAN2401 and all costs, including research, development, sales and marketing expenses, are shared equally between us and Eisai. If BAN2401 receives marketing approval, we and Eisai will co-promote BAN2401 and share profits equally.</w:t>
      </w:r>
    </w:p>
    <w:p>
      <w:pPr>
        <w:spacing w:after="0" w:line="151" w:lineRule="exact"/>
        <w:rPr>
          <w:sz w:val="20"/>
          <w:szCs w:val="20"/>
          <w:color w:val="auto"/>
        </w:rPr>
      </w:pPr>
    </w:p>
    <w:p>
      <w:pPr>
        <w:ind w:left="380" w:right="20" w:firstLine="405"/>
        <w:spacing w:after="0" w:line="252" w:lineRule="auto"/>
        <w:rPr>
          <w:sz w:val="20"/>
          <w:szCs w:val="20"/>
          <w:color w:val="auto"/>
        </w:rPr>
      </w:pPr>
      <w:r>
        <w:rPr>
          <w:rFonts w:ascii="Arial" w:cs="Arial" w:eastAsia="Arial" w:hAnsi="Arial"/>
          <w:sz w:val="18"/>
          <w:szCs w:val="18"/>
          <w:color w:val="auto"/>
        </w:rPr>
        <w:t>We also have a collaboration agreement with Eisai to jointly develop and commercialize aducanumab (the Aducanumab Collaboration Agreement). Under the Aducanumab Collaboration Agreement, the two companies will co-promote aducanumab with a region-based profit split and we lead the ongoing development of aducanumab.</w:t>
      </w:r>
    </w:p>
    <w:p>
      <w:pPr>
        <w:spacing w:after="0" w:line="154" w:lineRule="exact"/>
        <w:rPr>
          <w:sz w:val="20"/>
          <w:szCs w:val="20"/>
          <w:color w:val="auto"/>
        </w:rPr>
      </w:pPr>
    </w:p>
    <w:p>
      <w:pPr>
        <w:ind w:left="380" w:right="200" w:firstLine="405"/>
        <w:spacing w:after="0" w:line="254" w:lineRule="auto"/>
        <w:rPr>
          <w:sz w:val="20"/>
          <w:szCs w:val="20"/>
          <w:color w:val="auto"/>
        </w:rPr>
      </w:pPr>
      <w:r>
        <w:rPr>
          <w:rFonts w:ascii="Arial" w:cs="Arial" w:eastAsia="Arial" w:hAnsi="Arial"/>
          <w:sz w:val="18"/>
          <w:szCs w:val="18"/>
          <w:color w:val="auto"/>
        </w:rPr>
        <w:t>We and Eisai co-promote AVONEX, TYSABRI and TECFIDERA in Japan in certain settings and Eisai distributes AVONEX, TYSABRI, TECFIDERA and PLEGRIDY in India and other Asia-Pacific markets, excluding China.</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Genentech, Inc. (Roche Group)</w:t>
      </w:r>
    </w:p>
    <w:p>
      <w:pPr>
        <w:spacing w:after="0" w:line="112" w:lineRule="exact"/>
        <w:rPr>
          <w:sz w:val="20"/>
          <w:szCs w:val="20"/>
          <w:color w:val="auto"/>
        </w:rPr>
      </w:pPr>
    </w:p>
    <w:p>
      <w:pPr>
        <w:ind w:left="380" w:right="60" w:firstLine="405"/>
        <w:spacing w:after="0" w:line="254" w:lineRule="auto"/>
        <w:rPr>
          <w:sz w:val="20"/>
          <w:szCs w:val="20"/>
          <w:color w:val="auto"/>
        </w:rPr>
      </w:pPr>
      <w:r>
        <w:rPr>
          <w:rFonts w:ascii="Arial" w:cs="Arial" w:eastAsia="Arial" w:hAnsi="Arial"/>
          <w:sz w:val="18"/>
          <w:szCs w:val="18"/>
          <w:color w:val="auto"/>
        </w:rPr>
        <w:t>We have collaboration arrangements with Genentech which entitle us to certain business and financial rights with respect to RITUXAN, RITUXAN HYCELA, GAZYVA, OCREVUS and other potential anti-CD20 therapies.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Ionis Pharmaceuticals, Inc.</w:t>
      </w:r>
    </w:p>
    <w:p>
      <w:pPr>
        <w:spacing w:after="0" w:line="126" w:lineRule="exact"/>
        <w:rPr>
          <w:sz w:val="20"/>
          <w:szCs w:val="20"/>
          <w:color w:val="auto"/>
        </w:rPr>
      </w:pPr>
    </w:p>
    <w:p>
      <w:pPr>
        <w:ind w:left="380" w:right="100" w:firstLine="405"/>
        <w:spacing w:after="0" w:line="254" w:lineRule="auto"/>
        <w:rPr>
          <w:sz w:val="20"/>
          <w:szCs w:val="20"/>
          <w:color w:val="auto"/>
        </w:rPr>
      </w:pPr>
      <w:r>
        <w:rPr>
          <w:rFonts w:ascii="Arial" w:cs="Arial" w:eastAsia="Arial" w:hAnsi="Arial"/>
          <w:sz w:val="18"/>
          <w:szCs w:val="18"/>
          <w:color w:val="auto"/>
        </w:rPr>
        <w:t>We have an exclusive, worldwide option and collaboration agreement with Ionis relating to the development and commercialization of antisense therapeutics for up to three gene targets. Under a</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separate collaboration and license agreement with Ionis, we have an exclusive, worldwide license to develop and commercialize SPINRAZA for the treatment of SMA. We also have a 10-year exclusive collaboration agreement with Ionis to develop novel ASO drug candidates for a broad range of neurological diseases.</w:t>
      </w:r>
    </w:p>
    <w:p>
      <w:pPr>
        <w:spacing w:after="0" w:line="15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addition, we have research collaboration agreements with Ionis under which both companies perform discovery level research and will develop and commercialize new ASO drug candidates for the potential treatment of SMA and additional antisense or other therapeutics for the potential treatment of neurological diseases.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Neurimmune SubOne AG</w:t>
      </w:r>
    </w:p>
    <w:p>
      <w:pPr>
        <w:spacing w:after="0" w:line="11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have a collaboration and license agreement with Neurimmune SubOne AG (Neurimmune) for the development and commercialization of antibodies for the potential treatment of Alzheimer's disease, including aducanumab (as amended, the Neurimmune Agreement). We are responsible for the development, manufacturing and commercialization of all licensed products.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Samsung Bioepis Co., Ltd.</w:t>
      </w:r>
    </w:p>
    <w:p>
      <w:pPr>
        <w:spacing w:after="0" w:line="12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and Samsung BioLogics established a joint venture, Samsung Bioepis, to develop, manufacture and market biosimilar products. We also have an agreement with Samsung Bioepis to commercialize, over a 10-year term, 3 anti-TNF biosimilar product candidates in certain countries in Europe and, in the case of BENEPALI, Japan. Under this agreement, we are commercializing BENEPALI, an etanercept biosimilar referencing ENBREL, IMRALDI, an adalimumab biosimilar referencing HUMIRA, and FLIXABI, an infliximab biosimilar referencing REMICADE, in certain countries in Europe.</w:t>
      </w:r>
    </w:p>
    <w:p>
      <w:pPr>
        <w:spacing w:after="0" w:line="9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 We also acquired an option to extend our existing commercial agreement with Samsung Bioepis for BENEPALI, IMRALDI and FLIXABI in certain countries in Europe and obtained an option to acquire exclusive rights to commercialize these products in China.</w:t>
      </w:r>
    </w:p>
    <w:p>
      <w:pPr>
        <w:spacing w:after="0" w:line="157"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In addition to our joint venture and commercialization agreements with Samsung Bioepis, we license certain of our proprietary technology to Samsung Bioepis in connection with Samsung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120"/>
        <w:spacing w:after="0" w:line="261" w:lineRule="auto"/>
        <w:rPr>
          <w:sz w:val="20"/>
          <w:szCs w:val="20"/>
          <w:color w:val="auto"/>
        </w:rPr>
      </w:pPr>
      <w:r>
        <w:rPr>
          <w:rFonts w:ascii="Arial" w:cs="Arial" w:eastAsia="Arial" w:hAnsi="Arial"/>
          <w:sz w:val="18"/>
          <w:szCs w:val="18"/>
          <w:color w:val="auto"/>
        </w:rPr>
        <w:t>Bioepis' development, manufacture and commercialization of its biosimilar products.</w:t>
      </w:r>
    </w:p>
    <w:p>
      <w:pPr>
        <w:spacing w:after="0" w:line="12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Sage Therapeutics, Inc.</w:t>
      </w:r>
    </w:p>
    <w:p>
      <w:pPr>
        <w:spacing w:after="0" w:line="139"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We have a global collaboration and license agreement with Sage to jointly develop and commercialize zuranolone for the potential treatment of major depressive disorder, postpartum depression and other psychiatric disorders and SAGE-324 for the potential treatment of essential tremor and other neurological disorders. We and Sage share equal responsibility and costs for development as well as profits and losses for commercialization in the U.S. Outside the U.S., we are responsible for development and commercialization, excluding Japan, Taiwan and South Korea with respect to zuranolone, and will pay Sage tiered royalties.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Sangamo Therapeutics, Inc.</w:t>
      </w:r>
    </w:p>
    <w:p>
      <w:pPr>
        <w:spacing w:after="0" w:line="139" w:lineRule="exact"/>
        <w:rPr>
          <w:sz w:val="20"/>
          <w:szCs w:val="20"/>
          <w:color w:val="auto"/>
        </w:rPr>
      </w:pPr>
    </w:p>
    <w:p>
      <w:pPr>
        <w:ind w:left="380" w:right="80" w:firstLine="405"/>
        <w:spacing w:after="0" w:line="267" w:lineRule="auto"/>
        <w:rPr>
          <w:sz w:val="20"/>
          <w:szCs w:val="20"/>
          <w:color w:val="auto"/>
        </w:rPr>
      </w:pPr>
      <w:r>
        <w:rPr>
          <w:rFonts w:ascii="Arial" w:cs="Arial" w:eastAsia="Arial" w:hAnsi="Arial"/>
          <w:sz w:val="17"/>
          <w:szCs w:val="17"/>
          <w:color w:val="auto"/>
        </w:rPr>
        <w:t>We have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to modulate the expression of key genes involved in neurological diseases. Sangamo will perform early research activities, costs for which will be shared by the companies, and we will assume responsibility and costs beyond the early research activities.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Regulatory</w:t>
      </w:r>
    </w:p>
    <w:p>
      <w:pPr>
        <w:spacing w:after="0" w:line="103" w:lineRule="exact"/>
        <w:rPr>
          <w:sz w:val="20"/>
          <w:szCs w:val="20"/>
          <w:color w:val="auto"/>
        </w:rPr>
      </w:pPr>
    </w:p>
    <w:p>
      <w:pPr>
        <w:jc w:val="both"/>
        <w:ind w:left="380" w:right="220" w:firstLine="405"/>
        <w:spacing w:after="0" w:line="256" w:lineRule="auto"/>
        <w:rPr>
          <w:sz w:val="20"/>
          <w:szCs w:val="20"/>
          <w:color w:val="auto"/>
        </w:rPr>
      </w:pPr>
      <w:r>
        <w:rPr>
          <w:rFonts w:ascii="Arial" w:cs="Arial" w:eastAsia="Arial" w:hAnsi="Arial"/>
          <w:sz w:val="18"/>
          <w:szCs w:val="18"/>
          <w:color w:val="auto"/>
        </w:rPr>
        <w:t>Our current and contemplated activities and the products, technologies and processes that result from such activities are subject to substantial government regulation.</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Regulation of Pharmaceuticals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Product Approval and Post-Approval Regulation in the U.S.</w:t>
      </w:r>
    </w:p>
    <w:p>
      <w:pPr>
        <w:spacing w:after="0" w:line="171"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APPROVAL PROCESS</w:t>
      </w:r>
    </w:p>
    <w:p>
      <w:pPr>
        <w:spacing w:after="0" w:line="122"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80"/>
          </w:cols>
          <w:pgMar w:left="320" w:top="144" w:right="47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New Drug Application (NDA). In response to a BLA or NDA, the FDA may grant marketing approval, request additional information or deny the application if it determines the application does not provide an adequate basis for approval.</w:t>
      </w:r>
    </w:p>
    <w:p>
      <w:pPr>
        <w:spacing w:after="0" w:line="15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Product development and receipt of regulatory approval takes a number of years, involves the expenditure of substantial resources and depends on a number of factors, including the severity of the disease in question, the availability of suitable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delays or expenses. Furthermore, even if a product is approved, the approval may be subject to limitations based on the FDA's interpretation of the existing pre-clinical and/or clinical data.</w:t>
      </w:r>
    </w:p>
    <w:p>
      <w:pPr>
        <w:spacing w:after="0" w:line="154"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FDA has developed four distinct approaches intended to facilitate the development and expedite the regulatory review of therapeutically important drugs, especially when the drugs are the first available treatment or have advantages over existing treatments: accelerated approval, fast track, breakthrough therapy and priority review.</w:t>
      </w:r>
    </w:p>
    <w:p>
      <w:pPr>
        <w:spacing w:after="0" w:line="136" w:lineRule="exact"/>
        <w:rPr>
          <w:sz w:val="20"/>
          <w:szCs w:val="20"/>
          <w:color w:val="auto"/>
        </w:rPr>
      </w:pPr>
    </w:p>
    <w:p>
      <w:pPr>
        <w:ind w:left="420" w:hanging="331"/>
        <w:spacing w:after="0" w:line="252" w:lineRule="auto"/>
        <w:tabs>
          <w:tab w:leader="none" w:pos="36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Approval</w:t>
      </w:r>
      <w:r>
        <w:rPr>
          <w:rFonts w:ascii="Arial" w:cs="Arial" w:eastAsia="Arial" w:hAnsi="Arial"/>
          <w:sz w:val="18"/>
          <w:szCs w:val="18"/>
          <w:color w:val="auto"/>
        </w:rPr>
        <w:t>: The FDA may grant “accelerated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provide the FDA with confirmatory data post-approval to verify and describe clinical benefit. Under the FDA's accelerated approval regulations, if the FDA concludes that a drug that has been shown to be effective can be safely used only if distribution or use is restricted, it may require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certain post-marketing restrictions to assure safe use. In addition, for products approved under accelerated approval, sponsors may be required to submit all copies of their promotional materials, including advertisements, to the FDA at least 30 days prior to initial dissemination. The FDA may withdraw approval if, for instance, post-marketing studies fail to verify clinical benefit, it becomes clear that restrictions on the distribution of the product are inadequate to ensure its safe use or if a sponsor fails to comply with the conditions of the accelerated approval.</w:t>
      </w:r>
    </w:p>
    <w:p>
      <w:pPr>
        <w:spacing w:after="0" w:line="139" w:lineRule="exact"/>
        <w:rPr>
          <w:sz w:val="20"/>
          <w:szCs w:val="20"/>
          <w:color w:val="auto"/>
        </w:rPr>
      </w:pPr>
    </w:p>
    <w:p>
      <w:pPr>
        <w:ind w:left="800" w:right="280" w:hanging="334"/>
        <w:spacing w:after="0" w:line="258" w:lineRule="auto"/>
        <w:tabs>
          <w:tab w:leader="none" w:pos="7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Fast Track</w:t>
      </w:r>
      <w:r>
        <w:rPr>
          <w:rFonts w:ascii="Arial" w:cs="Arial" w:eastAsia="Arial" w:hAnsi="Arial"/>
          <w:sz w:val="18"/>
          <w:szCs w:val="18"/>
          <w:color w:val="auto"/>
        </w:rPr>
        <w:t>: The FDA may grant "fast track" status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that treat a serious condition and have data demonstrating the potential to address an unmet medical need or a drug that has been designated as a qualified infectious disease product.</w:t>
      </w:r>
    </w:p>
    <w:p>
      <w:pPr>
        <w:spacing w:after="0" w:line="129" w:lineRule="exact"/>
        <w:rPr>
          <w:rFonts w:ascii="Arial" w:cs="Arial" w:eastAsia="Arial" w:hAnsi="Arial"/>
          <w:sz w:val="18"/>
          <w:szCs w:val="18"/>
          <w:color w:val="auto"/>
        </w:rPr>
      </w:pPr>
    </w:p>
    <w:p>
      <w:pPr>
        <w:ind w:left="800" w:right="60" w:hanging="334"/>
        <w:spacing w:after="0" w:line="252" w:lineRule="auto"/>
        <w:tabs>
          <w:tab w:leader="none" w:pos="741"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Breakthrough Therapy</w:t>
      </w:r>
      <w:r>
        <w:rPr>
          <w:rFonts w:ascii="Arial" w:cs="Arial" w:eastAsia="Arial" w:hAnsi="Arial"/>
          <w:sz w:val="18"/>
          <w:szCs w:val="18"/>
          <w:color w:val="auto"/>
        </w:rPr>
        <w:t>: The FDA may grant “breakthrough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status to drugs designed to treat, alone or in combination with another drug or drugs, a serious or life-threatening disease or condition and for which preliminary clinical evidence suggests a substantial improvement over existing therapies based on a clinically significant endpoint.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eligible for priority review and does not ensure FDA approval.</w:t>
      </w:r>
    </w:p>
    <w:p>
      <w:pPr>
        <w:spacing w:after="0" w:line="143" w:lineRule="exact"/>
        <w:rPr>
          <w:rFonts w:ascii="Arial" w:cs="Arial" w:eastAsia="Arial" w:hAnsi="Arial"/>
          <w:sz w:val="18"/>
          <w:szCs w:val="18"/>
          <w:i w:val="1"/>
          <w:iCs w:val="1"/>
          <w:color w:val="auto"/>
        </w:rPr>
      </w:pPr>
    </w:p>
    <w:p>
      <w:pPr>
        <w:ind w:left="800" w:right="60" w:hanging="334"/>
        <w:spacing w:after="0" w:line="253" w:lineRule="auto"/>
        <w:tabs>
          <w:tab w:leader="none" w:pos="741"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Priority Review</w:t>
      </w:r>
      <w:r>
        <w:rPr>
          <w:rFonts w:ascii="Arial" w:cs="Arial" w:eastAsia="Arial" w:hAnsi="Arial"/>
          <w:sz w:val="18"/>
          <w:szCs w:val="18"/>
          <w:color w:val="auto"/>
        </w:rPr>
        <w:t>: “Priority review” only applies to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or efficacy supplement) for a drug that treats a serious condition and, if approved, would provide a significant improvement in safety or effectiveness of the treatment, diagnosis or prevention of a serious condition. Priority review may also be granted for any supplement that proposes a labeling change due to studies completed in response to a written request from the FDA for pediatric studies, for an application for a drug that has been designated as a qualified infectious disease product or for any application or supplement for a drug submitted with a priority review voucher.</w:t>
      </w:r>
    </w:p>
    <w:p>
      <w:pPr>
        <w:spacing w:after="0" w:line="154" w:lineRule="exact"/>
        <w:rPr>
          <w:sz w:val="20"/>
          <w:szCs w:val="20"/>
          <w:color w:val="auto"/>
        </w:rPr>
      </w:pPr>
    </w:p>
    <w:p>
      <w:pPr>
        <w:jc w:val="both"/>
        <w:ind w:left="800" w:right="40"/>
        <w:spacing w:after="0" w:line="256" w:lineRule="auto"/>
        <w:rPr>
          <w:sz w:val="20"/>
          <w:szCs w:val="20"/>
          <w:color w:val="auto"/>
        </w:rPr>
      </w:pPr>
      <w:r>
        <w:rPr>
          <w:rFonts w:ascii="Arial" w:cs="Arial" w:eastAsia="Arial" w:hAnsi="Arial"/>
          <w:sz w:val="18"/>
          <w:szCs w:val="18"/>
          <w:color w:val="auto"/>
        </w:rPr>
        <w:t>In December 2016 the FDA issued a rare pediatric disease priority review voucher to us in connection with the approval of SPINRAZA.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280"/>
        <w:spacing w:after="0"/>
        <w:rPr>
          <w:sz w:val="20"/>
          <w:szCs w:val="20"/>
          <w:color w:val="auto"/>
        </w:rPr>
      </w:pPr>
      <w:r>
        <w:rPr>
          <w:rFonts w:ascii="Arial" w:cs="Arial" w:eastAsia="Arial" w:hAnsi="Arial"/>
          <w:sz w:val="18"/>
          <w:szCs w:val="18"/>
          <w:i w:val="1"/>
          <w:iCs w:val="1"/>
          <w:color w:val="auto"/>
        </w:rPr>
        <w:t>POST-MARKETING STUDIES</w:t>
      </w:r>
    </w:p>
    <w:p>
      <w:pPr>
        <w:spacing w:after="0" w:line="12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Regardless of the approval pathway employed, the FDA may require a sponsor to conduct additional post-marketing studies as a condition of approval to provide data on safety and effectiveness. If a sponsor fails to conduct the required studies, the FDA may withdraw its approval. In addition, if the FDA concludes that a drug that has been shown to be effective can be safely used only if distribution or use is restricted, it can mandate post-marketing restrictions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136" w:lineRule="exact"/>
        <w:rPr>
          <w:sz w:val="20"/>
          <w:szCs w:val="20"/>
          <w:color w:val="auto"/>
        </w:rPr>
      </w:pPr>
    </w:p>
    <w:p>
      <w:pPr>
        <w:jc w:val="center"/>
        <w:ind w:left="280"/>
        <w:spacing w:after="0"/>
        <w:rPr>
          <w:sz w:val="20"/>
          <w:szCs w:val="20"/>
          <w:color w:val="auto"/>
        </w:rPr>
      </w:pPr>
      <w:r>
        <w:rPr>
          <w:rFonts w:ascii="Arial" w:cs="Arial" w:eastAsia="Arial" w:hAnsi="Arial"/>
          <w:sz w:val="18"/>
          <w:szCs w:val="18"/>
          <w:i w:val="1"/>
          <w:iCs w:val="1"/>
          <w:color w:val="auto"/>
        </w:rPr>
        <w:t>ADVERSE EVENT REPORTING</w:t>
      </w:r>
    </w:p>
    <w:p>
      <w:pPr>
        <w:spacing w:after="0" w:line="10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OF CHANGES TO AN APPROVED PRODUCT</w:t>
      </w:r>
    </w:p>
    <w:p>
      <w:pPr>
        <w:spacing w:after="0" w:line="12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what was initially approved. FDA regulatory review may result in denial or modification of the planned changes, or requirements to conduct additional tests or evaluations that can substantially delay or increase the cost of the planned changes.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REGULATION OF PRODUCT ADVERTISING AND</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PROMOTION</w:t>
      </w:r>
    </w:p>
    <w:p>
      <w:pPr>
        <w:spacing w:after="0" w:line="104"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The FDA regulates all advertising and promotion activities and communications for products under its jurisdiction both before and after approval. Pursuant to FDA guidance, a company can make safety and efficacy claims either in or consistent with the product label. However, physicians may prescribe legally available drugs for uses that are not described in the drug's labeling. Such off-label prescribing is common across medical specialties, and often reflects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Regulation of Combination Products</w:t>
      </w:r>
    </w:p>
    <w:p>
      <w:pPr>
        <w:spacing w:after="0" w:line="108" w:lineRule="exact"/>
        <w:rPr>
          <w:sz w:val="20"/>
          <w:szCs w:val="20"/>
          <w:color w:val="auto"/>
        </w:rPr>
      </w:pPr>
    </w:p>
    <w:p>
      <w:pPr>
        <w:ind w:left="380" w:right="140" w:firstLine="405"/>
        <w:spacing w:after="0" w:line="251" w:lineRule="auto"/>
        <w:rPr>
          <w:sz w:val="20"/>
          <w:szCs w:val="20"/>
          <w:color w:val="auto"/>
        </w:rPr>
      </w:pPr>
      <w:r>
        <w:rPr>
          <w:rFonts w:ascii="Arial" w:cs="Arial" w:eastAsia="Arial" w:hAnsi="Arial"/>
          <w:sz w:val="18"/>
          <w:szCs w:val="18"/>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158"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In May 2017 new regulations governing medical devices (MDR) and in-vitro diagnostic medical devices (IVDR) entered into force in the E.U. although these are not expected to fully apply until May 2021 with respect to the MDR regulations and May 2022 with respect to the IVDR regulations. All products covered by these regulations will be required to comply with them at the end of the transitional periods. These regulations introduce new requirements, including for clinical investigation of certain classifications of medical devices, require increased regulatory scrutiny, enhance the requirements for post market surveillance and vigilance and provide for greater transparency. These regulations also change the requirements for assessment of the medical device components of integral drug-device combination products, necessitating assessment of the device components under both the medical device and medicinal product regulatory regimes.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80" w:firstLine="243"/>
        <w:spacing w:after="0" w:line="282" w:lineRule="auto"/>
        <w:rPr>
          <w:sz w:val="20"/>
          <w:szCs w:val="20"/>
          <w:color w:val="auto"/>
        </w:rPr>
      </w:pPr>
      <w:r>
        <w:rPr>
          <w:rFonts w:ascii="Arial" w:cs="Arial" w:eastAsia="Arial" w:hAnsi="Arial"/>
          <w:sz w:val="18"/>
          <w:szCs w:val="18"/>
          <w:i w:val="1"/>
          <w:iCs w:val="1"/>
          <w:color w:val="538235"/>
        </w:rPr>
        <w:t>Product Approval and Post-Approval Regulation Outside the U.S.</w:t>
      </w:r>
    </w:p>
    <w:p>
      <w:pPr>
        <w:spacing w:after="0" w:line="58"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routes for marketing approval, depending on the type of product for which approval is sought. Under the centralized procedure, a company submits a single application to the EMA. The marketing authorization application is similar to the NDA or BLA in the U.S. and is evaluated by the Committee for Medicinal Products for Human Use (CHMP), the expert scientific committee of the EMA responsible for human medicines. If the CHMP determines that the marketing authorization application fulfills the requirements for quality, safety and efficacy and that the medicine has a positive benefit risk balance, it will adopt a positive opinion recommending the granting of the marketing authorization by the EC. The CHMP opinion is not binding, but is typically adopted by the EC. A MAA approved by the EC is valid in all member states of the E.U.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171"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addition to the centralized procedure, the European regulatory framework includes the following options for regulatory review and approval in E.U. member states:</w:t>
      </w:r>
    </w:p>
    <w:p>
      <w:pPr>
        <w:spacing w:after="0" w:line="148" w:lineRule="exact"/>
        <w:rPr>
          <w:sz w:val="20"/>
          <w:szCs w:val="20"/>
          <w:color w:val="auto"/>
        </w:rPr>
      </w:pPr>
    </w:p>
    <w:p>
      <w:pPr>
        <w:ind w:left="420" w:right="200" w:hanging="331"/>
        <w:spacing w:after="0" w:line="261"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national procedure, where the first application is made to the competent authority in one E.U. country only;</w:t>
      </w:r>
    </w:p>
    <w:p>
      <w:pPr>
        <w:spacing w:after="0" w:line="143" w:lineRule="exact"/>
        <w:rPr>
          <w:rFonts w:ascii="Arial" w:cs="Arial" w:eastAsia="Arial" w:hAnsi="Arial"/>
          <w:sz w:val="18"/>
          <w:szCs w:val="18"/>
          <w:color w:val="auto"/>
        </w:rPr>
      </w:pPr>
    </w:p>
    <w:p>
      <w:pPr>
        <w:ind w:left="420" w:right="40" w:hanging="331"/>
        <w:spacing w:after="0" w:line="254"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decentralized procedure, where applicants submit identical applications to several E.U. countries and receive simultaneous approval, if the medicine has not yet been authorized in any E.U. country; and</w:t>
      </w:r>
    </w:p>
    <w:p>
      <w:pPr>
        <w:spacing w:after="0" w:line="149" w:lineRule="exact"/>
        <w:rPr>
          <w:rFonts w:ascii="Arial" w:cs="Arial" w:eastAsia="Arial" w:hAnsi="Arial"/>
          <w:sz w:val="18"/>
          <w:szCs w:val="18"/>
          <w:color w:val="auto"/>
        </w:rPr>
      </w:pPr>
    </w:p>
    <w:p>
      <w:pPr>
        <w:ind w:left="420" w:right="140" w:hanging="331"/>
        <w:spacing w:after="0" w:line="254"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mutual recognition procedure, where applicants that have a medicine authorized in one E.U. country can apply for mutual recognition of this authorization in other E.U. countries.</w:t>
      </w:r>
    </w:p>
    <w:p>
      <w:pPr>
        <w:spacing w:after="0" w:line="150"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As in the U.S., the E.U. also has distinct approaches intended to optimize the regulatory pathways for therapeutically important drugs, including the Priority Medicines Evaluation Scheme (PRIME), accelerated assessment and conditional marketing authorization. PRIME is intended to provide additional support to medicine developers throughout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spacing w:after="0" w:line="267" w:lineRule="auto"/>
        <w:rPr>
          <w:sz w:val="20"/>
          <w:szCs w:val="20"/>
          <w:color w:val="auto"/>
        </w:rPr>
      </w:pPr>
      <w:r>
        <w:rPr>
          <w:rFonts w:ascii="Arial" w:cs="Arial" w:eastAsia="Arial" w:hAnsi="Arial"/>
          <w:sz w:val="17"/>
          <w:szCs w:val="17"/>
          <w:color w:val="auto"/>
        </w:rPr>
        <w:t>development process. Regulatory review timelines in the E.U. may be truncated under accelerated assessment for products that address an unmet medical need. In addition, conditional marketing authorizations may be granted for such products in the interest of public health, where the benefit of immediate availability outweighs the risk of less comprehensive data than normally required. Conditional marketing authorizations are valid for one year and can be renewed annually. The marketing authorization holder is required to complete specific obligations (ongoing or new studies and, in some cases, additional activities) with a view to providing comprehensive data confirming that the benefit risk balance is positive. Once comprehensive data on the product have been obtained, the marketing authorization may be converted into a standard marketing authorization.</w:t>
      </w:r>
    </w:p>
    <w:p>
      <w:pPr>
        <w:spacing w:after="0" w:line="142" w:lineRule="exact"/>
        <w:rPr>
          <w:sz w:val="20"/>
          <w:szCs w:val="20"/>
          <w:color w:val="auto"/>
        </w:rPr>
      </w:pPr>
    </w:p>
    <w:p>
      <w:pPr>
        <w:ind w:left="380" w:firstLine="405"/>
        <w:spacing w:after="0" w:line="273" w:lineRule="auto"/>
        <w:rPr>
          <w:sz w:val="20"/>
          <w:szCs w:val="20"/>
          <w:color w:val="auto"/>
        </w:rPr>
      </w:pPr>
      <w:r>
        <w:rPr>
          <w:rFonts w:ascii="Arial" w:cs="Arial" w:eastAsia="Arial" w:hAnsi="Arial"/>
          <w:sz w:val="17"/>
          <w:szCs w:val="17"/>
          <w:color w:val="auto"/>
        </w:rPr>
        <w:t>Aside from the U.S. and E.U., there are countries in other regions where it is possible to receive an "accelerated" review whereby the national regulatory authority will commit to truncated review timelines for products that meet specific medical needs.</w:t>
      </w:r>
    </w:p>
    <w:p>
      <w:pPr>
        <w:spacing w:after="0" w:line="137" w:lineRule="exact"/>
        <w:rPr>
          <w:sz w:val="20"/>
          <w:szCs w:val="20"/>
          <w:color w:val="auto"/>
        </w:rPr>
      </w:pPr>
    </w:p>
    <w:p>
      <w:pPr>
        <w:ind w:left="380" w:right="140" w:firstLine="405"/>
        <w:spacing w:after="0" w:line="253" w:lineRule="auto"/>
        <w:rPr>
          <w:sz w:val="20"/>
          <w:szCs w:val="20"/>
          <w:color w:val="auto"/>
        </w:rPr>
      </w:pPr>
      <w:r>
        <w:rPr>
          <w:rFonts w:ascii="Arial" w:cs="Arial" w:eastAsia="Arial" w:hAnsi="Arial"/>
          <w:sz w:val="18"/>
          <w:szCs w:val="18"/>
          <w:color w:val="auto"/>
        </w:rPr>
        <w:t>In the E.U. there is detailed legislation on pharmacovigilance and extensive guidance on good pharmacovigilance practices. A failure to comply with E.U. pharmacovigilance obligations may result in significant financial penalties for the marketing authorization holder.</w:t>
      </w:r>
    </w:p>
    <w:p>
      <w:pPr>
        <w:spacing w:after="0" w:line="151" w:lineRule="exact"/>
        <w:rPr>
          <w:sz w:val="20"/>
          <w:szCs w:val="20"/>
          <w:color w:val="auto"/>
        </w:rPr>
      </w:pPr>
    </w:p>
    <w:p>
      <w:pPr>
        <w:ind w:left="380" w:right="260" w:firstLine="405"/>
        <w:spacing w:after="0" w:line="251" w:lineRule="auto"/>
        <w:rPr>
          <w:sz w:val="20"/>
          <w:szCs w:val="20"/>
          <w:color w:val="auto"/>
        </w:rPr>
      </w:pPr>
      <w:r>
        <w:rPr>
          <w:rFonts w:ascii="Arial" w:cs="Arial" w:eastAsia="Arial" w:hAnsi="Arial"/>
          <w:sz w:val="18"/>
          <w:szCs w:val="18"/>
          <w:color w:val="auto"/>
        </w:rPr>
        <w:t>Regardless of the approval process employed, various parties share responsibilities for the monitoring, detection and evaluation of adverse events post-approval, including national competent authorities, the EMA, the EC and the marketing authorization holder. The EMA’s Pharmacovigilance Risk Assessment Committee is responsible for assessing and monitoring the safety of human medicines and makes recommendations on product safety issues. Marketing authorization holders have an obligation to inform regulatory agencies of any new information which may influence the evaluation of benefits and risks of the medicinal product concerned.</w:t>
      </w:r>
    </w:p>
    <w:p>
      <w:pPr>
        <w:spacing w:after="0" w:line="156" w:lineRule="exact"/>
        <w:rPr>
          <w:sz w:val="20"/>
          <w:szCs w:val="20"/>
          <w:color w:val="auto"/>
        </w:rPr>
      </w:pPr>
    </w:p>
    <w:p>
      <w:pPr>
        <w:ind w:left="380" w:right="240" w:firstLine="405"/>
        <w:spacing w:after="0" w:line="254" w:lineRule="auto"/>
        <w:rPr>
          <w:sz w:val="20"/>
          <w:szCs w:val="20"/>
          <w:color w:val="auto"/>
        </w:rPr>
      </w:pPr>
      <w:r>
        <w:rPr>
          <w:rFonts w:ascii="Arial" w:cs="Arial" w:eastAsia="Arial" w:hAnsi="Arial"/>
          <w:sz w:val="18"/>
          <w:szCs w:val="18"/>
          <w:color w:val="auto"/>
        </w:rPr>
        <w:t>In the U.S., E.U. and other jurisdictions, regulatory agencies, including the FDA, conduct periodic inspections of NDA, BLA and marketing authorization holders to assess their compliance with pharmacovigilance obligations.</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Good Manufacturing Practices</w:t>
      </w:r>
    </w:p>
    <w:p>
      <w:pPr>
        <w:spacing w:after="0" w:line="122" w:lineRule="exact"/>
        <w:rPr>
          <w:sz w:val="20"/>
          <w:szCs w:val="20"/>
          <w:color w:val="auto"/>
        </w:rPr>
      </w:pPr>
    </w:p>
    <w:p>
      <w:pPr>
        <w:ind w:left="380" w:right="60" w:firstLine="445"/>
        <w:spacing w:after="0" w:line="254" w:lineRule="auto"/>
        <w:rPr>
          <w:sz w:val="20"/>
          <w:szCs w:val="20"/>
          <w:color w:val="auto"/>
        </w:rPr>
      </w:pPr>
      <w:r>
        <w:rPr>
          <w:rFonts w:ascii="Arial" w:cs="Arial" w:eastAsia="Arial" w:hAnsi="Arial"/>
          <w:sz w:val="18"/>
          <w:szCs w:val="18"/>
          <w:color w:val="auto"/>
        </w:rPr>
        <w:t>Regulatory agencies regulate and inspect equipment, facilities and processes used in the manufacturing and testing of pharmaceutical and biologic products prior to approving a product. If, after receiving approval from regulatory agencies, a</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Good Clinical Practices</w:t>
      </w:r>
    </w:p>
    <w:p>
      <w:pPr>
        <w:spacing w:after="0" w:line="18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guidelines,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cGCP can likewise result in rejection of our clinical trial data or other sanctions.</w:t>
      </w:r>
    </w:p>
    <w:p>
      <w:pPr>
        <w:spacing w:after="0" w:line="15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April 2014 the EC adopted a new Clinical Trial Regulation, which was effective in June 2014 but is not expected to apply until 2021. The regulation harmonizes the procedures for assessment and governance of clinical trials throughout the E.U. and will require that information on the authorization, conduct and results of each clinical trial conducted in the E.U. be publicly available.</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Approval of Biosimilars</w:t>
      </w:r>
    </w:p>
    <w:p>
      <w:pPr>
        <w:spacing w:after="0" w:line="108"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The Patient Protection and Affordable Care Act (PPACA) amended the Public Health Service Act (PHSA) to authorize the FDA to approve biological products, referred to as biosimilars or follow-on biologics, that are shown to be "highly similar" to previously approved biological products based upon potentially abbreviated data packages. The biosimilar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must show it has no clinically meaningful differences in terms of safety and effectiveness from the reference product, and only minor differences in clinically inactive components are allowable in biosimilar products. The approval pathway for biosimilars does, however, grant a biologics manufacturer a 12-year period of exclusivity from the date of approval of its biological product before biosimilar competition can be introduced. There is uncertainty, however, as the approval framework for biosimilars originally was enacted as part of the PPACA. There have been, and there are likely to continue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155" w:lineRule="exact"/>
        <w:rPr>
          <w:sz w:val="20"/>
          <w:szCs w:val="20"/>
          <w:color w:val="auto"/>
        </w:rPr>
      </w:pPr>
    </w:p>
    <w:p>
      <w:pPr>
        <w:ind w:left="380" w:right="40" w:firstLine="405"/>
        <w:spacing w:after="0" w:line="251" w:lineRule="auto"/>
        <w:rPr>
          <w:sz w:val="20"/>
          <w:szCs w:val="20"/>
          <w:color w:val="auto"/>
        </w:rPr>
      </w:pPr>
      <w:r>
        <w:rPr>
          <w:rFonts w:ascii="Arial" w:cs="Arial" w:eastAsia="Arial" w:hAnsi="Arial"/>
          <w:sz w:val="18"/>
          <w:szCs w:val="18"/>
          <w:color w:val="auto"/>
        </w:rPr>
        <w:t>A biosimilars approval pathway has been in place in the E.U. since 2003. The EMA has issued a number of scientific and product specific biosimilar guidelines, including requirements for approving biosimilars containing monoclonal antibodies. In the E.U., biosimilars are generally approved under the centralized procedure. The approval pathway allows sponsors of a biosimilar to seek and obtain regulatory approval based in part on reliance on the clinical trial data of an innovator product to which the biosimilar has been demonstrated, through comprehensive comparability studies, to be “similar.” In many cases, this allows biosimilars to be brought to market without conducting the full complement of clinical trials typically required for novel biologic drugs.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Orphan Drug Act</w:t>
      </w:r>
    </w:p>
    <w:p>
      <w:pPr>
        <w:spacing w:after="0" w:line="108"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an initial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that receive and maintain an orphan designation are entitled to 10 years of market exclusivity following approval, protocol assistance and access to the centralized procedure for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authorization. SPINRAZA has been granted orphan drug designation in the U.S., E.U. and Japan.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Regulation Pertaining to Pricing and Reimbursement</w:t>
      </w:r>
    </w:p>
    <w:p>
      <w:pPr>
        <w:spacing w:after="0" w:line="1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 both domestic and foreign markets, sales of our products depend, to a significant extent, on the availability and amount of reimbursement by third-party payors, including governments, private health plans and other organizations. Substantial uncertainty exists regarding the pricing and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may impose restrictions on access, coverage or pricing of particular drugs based on perceived value.</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Within the U.S.</w:t>
      </w:r>
    </w:p>
    <w:p>
      <w:pPr>
        <w:spacing w:after="0" w:line="104" w:lineRule="exact"/>
        <w:rPr>
          <w:sz w:val="20"/>
          <w:szCs w:val="20"/>
          <w:color w:val="auto"/>
        </w:rPr>
      </w:pPr>
    </w:p>
    <w:p>
      <w:pPr>
        <w:ind w:left="420" w:hanging="331"/>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Medicaid is a joint federal and state program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administered by the states for low income and disabled beneficiaries. Under the Medicaid Drug Rebate Program, we are required to pay a rebate for each unit of product reimbursed by the state Medicaid programs. The amount of the rebate is established by law and is adjusted upward if the average manufacturer price (AMP) increases more than inflation (measured by the Consumer Price Index - Urban). The rebate amount is calculated each quarter based on our report of current AMP and best price for each of our products to the Centers for Medicare &amp; Medicaid Services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0" w:right="20" w:hanging="334"/>
        <w:spacing w:after="0" w:line="272" w:lineRule="auto"/>
        <w:tabs>
          <w:tab w:leader="none" w:pos="741"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Medicare is a federal program that is administered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federal government. The program covers individuals age 65 and over as well as those with certain disabilities.</w:t>
      </w:r>
    </w:p>
    <w:p>
      <w:pPr>
        <w:spacing w:after="0" w:line="1" w:lineRule="exact"/>
        <w:rPr>
          <w:rFonts w:ascii="Arial" w:cs="Arial" w:eastAsia="Arial" w:hAnsi="Arial"/>
          <w:sz w:val="17"/>
          <w:szCs w:val="17"/>
          <w:i w:val="1"/>
          <w:iCs w:val="1"/>
          <w:color w:val="auto"/>
        </w:rPr>
      </w:pPr>
    </w:p>
    <w:p>
      <w:pPr>
        <w:ind w:left="800"/>
        <w:spacing w:after="0" w:line="251" w:lineRule="auto"/>
        <w:rPr>
          <w:rFonts w:ascii="Arial" w:cs="Arial" w:eastAsia="Arial" w:hAnsi="Arial"/>
          <w:sz w:val="17"/>
          <w:szCs w:val="17"/>
          <w:i w:val="1"/>
          <w:iCs w:val="1"/>
          <w:color w:val="auto"/>
        </w:rPr>
      </w:pPr>
      <w:r>
        <w:rPr>
          <w:rFonts w:ascii="Arial" w:cs="Arial" w:eastAsia="Arial" w:hAnsi="Arial"/>
          <w:sz w:val="18"/>
          <w:szCs w:val="18"/>
          <w:color w:val="auto"/>
        </w:rPr>
        <w:t>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(ASP) of the drugs. Manufacturers, including us, are required to provide ASP information to the CMS on a quarterly basis. The manufacturer-submitted information is used to calculate Medicare payment rates. If a manufacturer is found to have made a misrepresentation in the reporting of ASP, the governing statute provides for civil monetary penalties.</w:t>
      </w:r>
    </w:p>
    <w:p>
      <w:pPr>
        <w:spacing w:after="0" w:line="156" w:lineRule="exact"/>
        <w:rPr>
          <w:sz w:val="20"/>
          <w:szCs w:val="20"/>
          <w:color w:val="auto"/>
        </w:rPr>
      </w:pPr>
    </w:p>
    <w:p>
      <w:pPr>
        <w:ind w:left="800"/>
        <w:spacing w:after="0" w:line="251" w:lineRule="auto"/>
        <w:rPr>
          <w:sz w:val="20"/>
          <w:szCs w:val="20"/>
          <w:color w:val="auto"/>
        </w:rPr>
      </w:pPr>
      <w:r>
        <w:rPr>
          <w:rFonts w:ascii="Arial" w:cs="Arial" w:eastAsia="Arial" w:hAnsi="Arial"/>
          <w:sz w:val="18"/>
          <w:szCs w:val="18"/>
          <w:color w:val="auto"/>
        </w:rPr>
        <w:t>In November 2020 CMS issued an interim final rule that seeks to lower prescription drug costs by paying no more for certain Medicare Part B drugs than the lowest price paid for such drugs in certain other countries (the "most favored nation" rule). One of the drugs subject to the rule is TYSABRI. Under the rule, the lower payment rates for affected drugs would be phased in over a period of four years, beginning in 2021. Although the rule is being challenged by industry associations on a number of grounds, if the challenges are unsuccessful, the rule could harm our business. In addition, if the rule were expanded to include other drugs or to include Medicare Part D, such expansions could cause additional harm.</w:t>
      </w:r>
    </w:p>
    <w:p>
      <w:pPr>
        <w:spacing w:after="0" w:line="156" w:lineRule="exact"/>
        <w:rPr>
          <w:sz w:val="20"/>
          <w:szCs w:val="20"/>
          <w:color w:val="auto"/>
        </w:rPr>
      </w:pPr>
    </w:p>
    <w:p>
      <w:pPr>
        <w:ind w:left="800" w:right="40"/>
        <w:spacing w:after="0" w:line="251"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Each drug plan establishes its own Medicare Part D formulary for prescription drug coverage and pricing, which the drug plan may modify from time-to-time. The prescription drug plans negotiate pricing with manufacturers and pharmacies, and may condition formulary placement on the availability of manufacturer discounts. In addition, manufacturers, including us, are required to provide to the CMS a discount of up to 70% on brand name prescription drugs utilized by Medicare Part D beneficiaries when those beneficiaries reach the coverage gap in their drug benefits.</w:t>
      </w:r>
    </w:p>
    <w:p>
      <w:pPr>
        <w:spacing w:after="0" w:line="137" w:lineRule="exact"/>
        <w:rPr>
          <w:sz w:val="20"/>
          <w:szCs w:val="20"/>
          <w:color w:val="auto"/>
        </w:rPr>
      </w:pPr>
    </w:p>
    <w:p>
      <w:pPr>
        <w:ind w:left="800" w:right="600" w:hanging="334"/>
        <w:spacing w:after="0" w:line="282" w:lineRule="auto"/>
        <w:tabs>
          <w:tab w:leader="none" w:pos="741"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Federal Agency Discounted Pricing</w:t>
      </w:r>
      <w:r>
        <w:rPr>
          <w:rFonts w:ascii="Arial" w:cs="Arial" w:eastAsia="Arial" w:hAnsi="Arial"/>
          <w:sz w:val="18"/>
          <w:szCs w:val="18"/>
          <w:color w:val="auto"/>
        </w:rPr>
        <w:t>: Our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discounted pricing when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line="251" w:lineRule="auto"/>
        <w:rPr>
          <w:sz w:val="20"/>
          <w:szCs w:val="20"/>
          <w:color w:val="auto"/>
        </w:rPr>
      </w:pPr>
      <w:r>
        <w:rPr>
          <w:rFonts w:ascii="Arial" w:cs="Arial" w:eastAsia="Arial" w:hAnsi="Arial"/>
          <w:sz w:val="18"/>
          <w:szCs w:val="18"/>
          <w:color w:val="auto"/>
        </w:rPr>
        <w:t>purchased by federal agencies via the Federal Supply Schedule (FSS). FSS participation is required for our products to be covered and reimbursed by the Veterans Administration (VA), Department of Defense, Coast Guard and Public Health Service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134" w:lineRule="exact"/>
        <w:rPr>
          <w:sz w:val="20"/>
          <w:szCs w:val="20"/>
          <w:color w:val="auto"/>
        </w:rPr>
      </w:pPr>
    </w:p>
    <w:p>
      <w:pPr>
        <w:ind w:left="420" w:right="60" w:hanging="331"/>
        <w:spacing w:after="0" w:line="252" w:lineRule="auto"/>
        <w:tabs>
          <w:tab w:leader="none" w:pos="361"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340B Discounted Pricing</w:t>
      </w:r>
      <w:r>
        <w:rPr>
          <w:rFonts w:ascii="Arial" w:cs="Arial" w:eastAsia="Arial" w:hAnsi="Arial"/>
          <w:sz w:val="18"/>
          <w:szCs w:val="18"/>
          <w:color w:val="auto"/>
        </w:rPr>
        <w:t>: To maintain coverage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under the Medicaid Drug Rebate Program and Medicare Part B, we are 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 other entities that receive certain types of grants under the PHSA.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Outside the U.S.</w:t>
      </w:r>
    </w:p>
    <w:p>
      <w:pPr>
        <w:spacing w:after="0" w:line="122" w:lineRule="exact"/>
        <w:rPr>
          <w:sz w:val="20"/>
          <w:szCs w:val="20"/>
          <w:color w:val="auto"/>
        </w:rPr>
      </w:pPr>
    </w:p>
    <w:p>
      <w:pPr>
        <w:ind w:right="140" w:firstLine="445"/>
        <w:spacing w:after="0" w:line="251" w:lineRule="auto"/>
        <w:rPr>
          <w:sz w:val="20"/>
          <w:szCs w:val="20"/>
          <w:color w:val="auto"/>
        </w:rPr>
      </w:pPr>
      <w:r>
        <w:rPr>
          <w:rFonts w:ascii="Arial" w:cs="Arial" w:eastAsia="Arial" w:hAnsi="Arial"/>
          <w:sz w:val="18"/>
          <w:szCs w:val="18"/>
          <w:color w:val="auto"/>
        </w:rPr>
        <w:t>Outside the U.S., our products are paid for by a variety of payors, with governments being the primary source of payment. Governments may determine or influence reimbursement of products and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00"/>
        <w:spacing w:after="0" w:line="252" w:lineRule="auto"/>
        <w:rPr>
          <w:sz w:val="20"/>
          <w:szCs w:val="20"/>
          <w:color w:val="auto"/>
        </w:rPr>
      </w:pPr>
      <w:r>
        <w:rPr>
          <w:rFonts w:ascii="Arial" w:cs="Arial" w:eastAsia="Arial" w:hAnsi="Arial"/>
          <w:sz w:val="18"/>
          <w:szCs w:val="18"/>
          <w:color w:val="auto"/>
        </w:rPr>
        <w:t>(i.e., referencing prices in other countries and using those reference prices to set a price). Budgetary pressures in many countries are continuing to cause governments to consider or implement various cost-containment measures, such as price freezes, increased price cuts and rebates and expanded generic substitution and patient cost-sharing.</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Regulation Pertaining to Sales and Marketing</w:t>
      </w:r>
    </w:p>
    <w:p>
      <w:pPr>
        <w:spacing w:after="0" w:line="112" w:lineRule="exact"/>
        <w:rPr>
          <w:sz w:val="20"/>
          <w:szCs w:val="20"/>
          <w:color w:val="auto"/>
        </w:rPr>
      </w:pPr>
    </w:p>
    <w:p>
      <w:pPr>
        <w:ind w:left="380" w:firstLine="445"/>
        <w:spacing w:after="0" w:line="250" w:lineRule="auto"/>
        <w:rPr>
          <w:sz w:val="20"/>
          <w:szCs w:val="20"/>
          <w:color w:val="auto"/>
        </w:rPr>
      </w:pPr>
      <w:r>
        <w:rPr>
          <w:rFonts w:ascii="Arial" w:cs="Arial" w:eastAsia="Arial" w:hAnsi="Arial"/>
          <w:sz w:val="18"/>
          <w:szCs w:val="18"/>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173"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Regulations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Foreign Anti-Corruption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various federal and foreign laws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 our international business practices with respect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government officials. Those laws include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Foreign Corrupt Practices Act (FCPA), which prohibits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companies and their representatives from paying, offering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 promising to pay or authorizing the payment of anything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to any foreign government official, government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 political party or political candidate for the purpose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obtaining or retaining business or to otherwise obtain favorable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treatment or influence a person working in an official capacity.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many countries, the health care professionals we regularly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 with may meet the FCPA's definition of a foreign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 official. The FCPA also requires public companies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and keep books and records that accurately and fairly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reflect their transactions and to devise and maintain an adequate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of internal accounting controls.</w:t>
      </w:r>
    </w:p>
    <w:p>
      <w:pPr>
        <w:spacing w:after="0" w:line="171"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 Penalties under the Bribery Act include significant fines for companies and criminal sanctions for corporate officers under certain circumstances.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NIH Guidelines</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Research Triangle Park (RTP), NC and are required to operate pursuant to certain permits.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Other Laws</w:t>
      </w:r>
    </w:p>
    <w:p>
      <w:pPr>
        <w:spacing w:after="0" w:line="122"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74"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The European Parliament and the Council of the European Union adopted a comprehensive general data privacy regulation (GDPR) in 2016 to replace the current E.U. Data Protection Directive and related country-specific legislation. The GDPR took effect in May 2018 and governs the collection and use of personal data in the E.U.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U.S., provides an enforcement authority and imposes large penalties for noncompliance, including the potential for fines of up to €20.0 million or 4.0% of the annual global revenues of the infringer, whichever is greater.</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Environmental Matters</w:t>
      </w:r>
    </w:p>
    <w:p>
      <w:pPr>
        <w:spacing w:after="0" w:line="116" w:lineRule="exact"/>
        <w:rPr>
          <w:sz w:val="20"/>
          <w:szCs w:val="20"/>
          <w:color w:val="auto"/>
        </w:rPr>
      </w:pPr>
    </w:p>
    <w:p>
      <w:pPr>
        <w:ind w:left="380" w:right="120" w:firstLine="445"/>
        <w:spacing w:after="0" w:line="252" w:lineRule="auto"/>
        <w:rPr>
          <w:sz w:val="20"/>
          <w:szCs w:val="20"/>
          <w:color w:val="auto"/>
        </w:rPr>
      </w:pPr>
      <w:r>
        <w:rPr>
          <w:rFonts w:ascii="Arial" w:cs="Arial" w:eastAsia="Arial" w:hAnsi="Arial"/>
          <w:sz w:val="18"/>
          <w:szCs w:val="18"/>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Manufacturing</w:t>
      </w:r>
    </w:p>
    <w:p>
      <w:pPr>
        <w:spacing w:after="0" w:line="116" w:lineRule="exact"/>
        <w:rPr>
          <w:sz w:val="20"/>
          <w:szCs w:val="20"/>
          <w:color w:val="auto"/>
        </w:rPr>
      </w:pPr>
    </w:p>
    <w:p>
      <w:pPr>
        <w:jc w:val="both"/>
        <w:ind w:left="380" w:right="100" w:firstLine="405"/>
        <w:spacing w:after="0" w:line="256"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capabilities, processes and facilities. We believe that our manufacturing facilities, together with the third-party contract manufacturing organizations we outsource to, currently provide sufficient capacity for our products and to Samsung Bioepis, our joint venture that develops, manufactures and markets biosimilar products, and other strategic contract manufacturing partners. In order to support our future growth and drug development pipeline, we are expanding our large molecule production capacity by building a large-scale biologics manufacturing facility in Solothurn, Switzerland. We expect this facility to be partially operational during the first half of 2021.</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Manufacturing Facilities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drug substance manufacturing facility includes: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Drug Substance Manufactured</w:t>
            </w:r>
          </w:p>
        </w:tc>
      </w:tr>
      <w:tr>
        <w:trPr>
          <w:trHeight w:val="222"/>
        </w:trPr>
        <w:tc>
          <w:tcPr>
            <w:tcW w:w="2660" w:type="dxa"/>
            <w:vAlign w:val="bottom"/>
            <w:gridSpan w:val="2"/>
          </w:tcPr>
          <w:p>
            <w:pPr>
              <w:ind w:left="20"/>
              <w:spacing w:after="0"/>
              <w:rPr>
                <w:sz w:val="20"/>
                <w:szCs w:val="20"/>
                <w:color w:val="auto"/>
              </w:rPr>
            </w:pPr>
            <w:r>
              <w:rPr>
                <w:rFonts w:ascii="Arial" w:cs="Arial" w:eastAsia="Arial" w:hAnsi="Arial"/>
                <w:sz w:val="18"/>
                <w:szCs w:val="18"/>
                <w:color w:val="2573BA"/>
              </w:rPr>
              <w:t>RTP, NC</w:t>
            </w:r>
          </w:p>
        </w:tc>
        <w:tc>
          <w:tcPr>
            <w:tcW w:w="2540" w:type="dxa"/>
            <w:vAlign w:val="bottom"/>
          </w:tcPr>
          <w:p>
            <w:pPr>
              <w:jc w:val="center"/>
              <w:spacing w:after="0"/>
              <w:rPr>
                <w:sz w:val="20"/>
                <w:szCs w:val="20"/>
                <w:color w:val="auto"/>
              </w:rPr>
            </w:pPr>
            <w:r>
              <w:rPr>
                <w:rFonts w:ascii="Arial" w:cs="Arial" w:eastAsia="Arial" w:hAnsi="Arial"/>
                <w:sz w:val="18"/>
                <w:szCs w:val="18"/>
                <w:color w:val="2573BA"/>
                <w:w w:val="98"/>
              </w:rPr>
              <w:t>AVONEX</w:t>
            </w: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2573BA"/>
                <w:w w:val="98"/>
              </w:rPr>
              <w:t>PLEGRIDY</w:t>
            </w:r>
          </w:p>
        </w:tc>
      </w:tr>
      <w:tr>
        <w:trPr>
          <w:trHeight w:val="176"/>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2573BA"/>
              </w:rPr>
              <w:t>TYSABRI</w:t>
            </w:r>
          </w:p>
        </w:tc>
      </w:tr>
      <w:tr>
        <w:trPr>
          <w:trHeight w:val="217"/>
        </w:trPr>
        <w:tc>
          <w:tcPr>
            <w:tcW w:w="2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2573BA"/>
                <w:w w:val="99"/>
              </w:rPr>
              <w:t>Other*</w:t>
            </w:r>
          </w:p>
        </w:tc>
      </w:tr>
    </w:tbl>
    <w:p>
      <w:pPr>
        <w:spacing w:after="0" w:line="9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15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addition to our drug substance manufacturing facility, we have a drug product manufacturing facility and supporting infrastructure in RTP, NC, including a parenteral facility and an oral solid dose products manufacturing facility.</w:t>
      </w:r>
    </w:p>
    <w:p>
      <w:pPr>
        <w:spacing w:after="0" w:line="15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 parenteral facility adds capabilities and capacity for filling biologics into vials and is principally used for filling product candidates. The oral solid dose products facility can supplement our outsourced small molecule manufacturing capabilities, including the manufacture of TECFIDERA.</w:t>
      </w:r>
    </w:p>
    <w:p>
      <w:pPr>
        <w:spacing w:after="0" w:line="151"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We also have an oligonucleotide synthesis manufacturing facility in RTP, NC. This facility gives us the capability to manufacture ASO drugs like SPINRAZA as well as our other ASO candidates currently in our clinical pipeline.</w:t>
      </w:r>
    </w:p>
    <w:p>
      <w:pPr>
        <w:spacing w:after="0" w:line="15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which we expect to be partially operational during the first half of 2021.</w:t>
      </w:r>
    </w:p>
    <w:p>
      <w:pPr>
        <w:spacing w:after="0" w:line="150"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Genentech is responsible for all worldwide manufacturing activities for bulk RITUXAN, RITUXAN HYCELA and GAZYVA and has sourced the manufacture of certain bulk RITUXAN, RITUXAN HYCELA and GAZYVA requirements to a third party. Acorda supplies FAMPYRA to us pursuant to its supply agreement with Alkermes, Inc. and Ionis supplies the active pharmaceutical ingredient (API) for SPINRAZA. Alkermes currently supplies VUMERITY to us pursuant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to a supply agreement. In October 2019 we entered into a new supply agreement and amended our license and collaboration agreement with Alkermes.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Third-Party Suppliers and Manufacturers</w:t>
      </w:r>
    </w:p>
    <w:p>
      <w:pPr>
        <w:spacing w:after="0" w:line="126" w:lineRule="exact"/>
        <w:rPr>
          <w:sz w:val="20"/>
          <w:szCs w:val="20"/>
          <w:color w:val="auto"/>
        </w:rPr>
      </w:pPr>
    </w:p>
    <w:p>
      <w:pPr>
        <w:ind w:left="380" w:right="20" w:firstLine="405"/>
        <w:spacing w:after="0" w:line="253" w:lineRule="auto"/>
        <w:rPr>
          <w:sz w:val="20"/>
          <w:szCs w:val="20"/>
          <w:color w:val="auto"/>
        </w:rPr>
      </w:pPr>
      <w:r>
        <w:rPr>
          <w:rFonts w:ascii="Arial" w:cs="Arial" w:eastAsia="Arial" w:hAnsi="Arial"/>
          <w:sz w:val="18"/>
          <w:szCs w:val="18"/>
          <w:color w:val="auto"/>
        </w:rPr>
        <w:t>We principally use third parties to manufacture the API and the final product for our small molecule products and product candidates, including TECFIDERA and FUMADERM, and the final drug product for our large molecule products and, to a lesser extent, product candidates.</w:t>
      </w:r>
    </w:p>
    <w:p>
      <w:pPr>
        <w:spacing w:after="0" w:line="151"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We source all of our fill-finish and the majority of final product assembly and storage operations for our products, along with a substantial part of our label and packaging operations, to a concentrated group of third-party contract manufacturing organizations. Raw materials, delivery devices, such as syringes and auto-injectors, and other supplies required for the production of our products and product candidates are procured from various third-party suppliers and manufacturers in quantities adequate to meet our needs. Continuity of supply of such raw materials, devices and supplies is assured using a strategy of dual sourcing where possible or by a risk-based inventory strategy. Our third-party service providers, suppliers and manufacturers may be subject to routine cGMP inspections by the FDA or comparable agencies in other jurisdictions and undergo assessment and certification by our quality management group.</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Human Capital</w:t>
      </w:r>
    </w:p>
    <w:p>
      <w:pPr>
        <w:spacing w:after="0" w:line="184" w:lineRule="exact"/>
        <w:rPr>
          <w:sz w:val="20"/>
          <w:szCs w:val="20"/>
          <w:color w:val="auto"/>
        </w:rPr>
      </w:pPr>
    </w:p>
    <w:p>
      <w:pPr>
        <w:ind w:left="380" w:right="160" w:firstLine="405"/>
        <w:spacing w:after="0" w:line="254" w:lineRule="auto"/>
        <w:rPr>
          <w:sz w:val="20"/>
          <w:szCs w:val="20"/>
          <w:color w:val="auto"/>
        </w:rPr>
      </w:pPr>
      <w:r>
        <w:rPr>
          <w:rFonts w:ascii="Arial" w:cs="Arial" w:eastAsia="Arial" w:hAnsi="Arial"/>
          <w:sz w:val="18"/>
          <w:szCs w:val="18"/>
          <w:color w:val="auto"/>
        </w:rPr>
        <w:t>As of December 31, 2020, we had approximately 9,100 employees worldwide. Approximately 5,675 employees were employed in the U.S. and approximately 3,425 employees were employed in foreign countries.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Diversity, Equity and Inclusion</w:t>
      </w:r>
    </w:p>
    <w:p>
      <w:pPr>
        <w:spacing w:after="0" w:line="193" w:lineRule="exact"/>
        <w:rPr>
          <w:sz w:val="20"/>
          <w:szCs w:val="20"/>
          <w:color w:val="auto"/>
        </w:rPr>
      </w:pPr>
    </w:p>
    <w:p>
      <w:pPr>
        <w:ind w:left="380" w:right="80" w:firstLine="405"/>
        <w:spacing w:after="0" w:line="251" w:lineRule="auto"/>
        <w:rPr>
          <w:sz w:val="20"/>
          <w:szCs w:val="20"/>
          <w:color w:val="auto"/>
        </w:rPr>
      </w:pPr>
      <w:r>
        <w:rPr>
          <w:rFonts w:ascii="Arial" w:cs="Arial" w:eastAsia="Arial" w:hAnsi="Arial"/>
          <w:sz w:val="18"/>
          <w:szCs w:val="18"/>
          <w:color w:val="auto"/>
        </w:rPr>
        <w:t>At Biogen, prejudice, racism and intolerance are unacceptable. We are committed to Diversity, Equity and Inclusion (DE&amp;I) across all aspects of our organization, including hiring, promotion and development practices. As of December 31, 2020, 28% of Biogen’s director-level and above positions were held by ethnic or racial minorities in the U.S. Our policies and practices are global, but the laws in many countries outside the U.S. do not permit us to collect ethnic or racial data on our employees. Globally, 48%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 Biogen’s positions at director-level and above were held by women.</w:t>
      </w:r>
    </w:p>
    <w:p>
      <w:pPr>
        <w:spacing w:after="0" w:line="14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 2020 we introduced an updated DE&amp;I strategy that outlines actionable steps to deepen our commitment across the business, building upon a strong foundation. This plan includes a four-part strategy to build our talent and leadership pipeline, improve health outcomes for the African American, Black, Latinx and other minority communities in the disease areas we treat and expand sourcing with minority-owned businesses. We plan to create greater awareness and capability in our organization through leadership accountability and transparency. To establish and progress this strategy, we rely on a cross-company governing body of employees known as the Diversity, Equity &amp; Inclusion Strategic Council.</w:t>
      </w:r>
    </w:p>
    <w:p>
      <w:pPr>
        <w:spacing w:after="0" w:line="15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are honored to be recognized as a company of choice. We scored 100.0% on the 2020 Disability Equality Index, which measures our policies and practices related to disability inclusion, for the third consecutive year. Additionally, for the seventh consecutive year, we were recognized as a Best Place to Work for LGBTQ Equality by the Human Rights Campaign, scoring 100.0% on their Corporate Equality Index.</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Philosophy on Pay Equity</w:t>
      </w:r>
    </w:p>
    <w:p>
      <w:pPr>
        <w:spacing w:after="0" w:line="193"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are committed to ensuring our employees receive equal pay for equal work. We establish components and ranges of compensation based on market and benchmark data. Within this context, we strive to pay all employees equitably within a reasonable range, taking into consideration factors such as role; market data; internal equity; job location; relevant experience; and individual, business unit and company performance. In addition, we are committed to providing flexible benefits designed to allow our diverse global workforce to have reward opportunities that meet their varied needs so that they are inspired to perform their best on behalf of patients and stockholders each day.</w:t>
      </w:r>
    </w:p>
    <w:p>
      <w:pPr>
        <w:spacing w:after="0" w:line="156"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regularly review our compensation practices and analyze the equity of compensation decisions, for individual employees and our workforce as a whole. If we identify employees with pay gaps, we review and take appropriate action to ensure fidelity between our stated philosophy and actions.</w:t>
      </w:r>
    </w:p>
    <w:p>
      <w:pPr>
        <w:spacing w:after="0" w:line="151"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We institute measures, such as communications and trainings, to recognize, interrupt and prevent bias in hiring, performance management and compensation decisions and we provide resources to further develop managers and leaders to help them make equitable decisions about pay.</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Talent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240" w:firstLine="405"/>
        <w:spacing w:after="0" w:line="273" w:lineRule="auto"/>
        <w:rPr>
          <w:sz w:val="20"/>
          <w:szCs w:val="20"/>
          <w:color w:val="auto"/>
        </w:rPr>
      </w:pPr>
      <w:r>
        <w:rPr>
          <w:rFonts w:ascii="Arial" w:cs="Arial" w:eastAsia="Arial" w:hAnsi="Arial"/>
          <w:sz w:val="17"/>
          <w:szCs w:val="17"/>
          <w:color w:val="auto"/>
        </w:rPr>
        <w:t>Our employees are encouraged to take advantage of an array of professional development resources. Managers coach employees for performance, and also engage in employee development discussions to support growth and learning.</w:t>
      </w:r>
    </w:p>
    <w:p>
      <w:pPr>
        <w:spacing w:after="0" w:line="137" w:lineRule="exact"/>
        <w:rPr>
          <w:sz w:val="20"/>
          <w:szCs w:val="20"/>
          <w:color w:val="auto"/>
        </w:rPr>
      </w:pPr>
    </w:p>
    <w:p>
      <w:pPr>
        <w:ind w:left="380" w:firstLine="405"/>
        <w:spacing w:after="0" w:line="253" w:lineRule="auto"/>
        <w:rPr>
          <w:sz w:val="20"/>
          <w:szCs w:val="20"/>
          <w:color w:val="auto"/>
        </w:rPr>
      </w:pPr>
      <w:r>
        <w:rPr>
          <w:rFonts w:ascii="Arial" w:cs="Arial" w:eastAsia="Arial" w:hAnsi="Arial"/>
          <w:sz w:val="18"/>
          <w:szCs w:val="18"/>
          <w:color w:val="auto"/>
        </w:rPr>
        <w:t>We provide our employees access to over 8,000 on-demand learning modules in English, French, German, Spanish, Japanese and Portuguese. Additionally, we have a wide selection of courses and trainings that are offered through Biogen University, our global validated learning management system.</w:t>
      </w:r>
    </w:p>
    <w:p>
      <w:pPr>
        <w:spacing w:after="0" w:line="151" w:lineRule="exact"/>
        <w:rPr>
          <w:sz w:val="20"/>
          <w:szCs w:val="20"/>
          <w:color w:val="auto"/>
        </w:rPr>
      </w:pPr>
    </w:p>
    <w:p>
      <w:pPr>
        <w:ind w:left="380" w:right="120" w:firstLine="405"/>
        <w:spacing w:after="0" w:line="256" w:lineRule="auto"/>
        <w:rPr>
          <w:sz w:val="20"/>
          <w:szCs w:val="20"/>
          <w:color w:val="auto"/>
        </w:rPr>
      </w:pPr>
      <w:r>
        <w:rPr>
          <w:rFonts w:ascii="Arial" w:cs="Arial" w:eastAsia="Arial" w:hAnsi="Arial"/>
          <w:sz w:val="18"/>
          <w:szCs w:val="18"/>
          <w:color w:val="auto"/>
        </w:rPr>
        <w:t>To create and sustain a workplace as diverse and inclusive as the patients we serve, we offer programs that invest in our talent pipeline and in our current leaders, including:</w:t>
      </w:r>
    </w:p>
    <w:p>
      <w:pPr>
        <w:spacing w:after="0" w:line="148" w:lineRule="exact"/>
        <w:rPr>
          <w:sz w:val="20"/>
          <w:szCs w:val="20"/>
          <w:color w:val="auto"/>
        </w:rPr>
      </w:pPr>
    </w:p>
    <w:p>
      <w:pPr>
        <w:ind w:left="1040" w:right="160" w:hanging="250"/>
        <w:spacing w:after="0" w:line="261" w:lineRule="auto"/>
        <w:tabs>
          <w:tab w:leader="none" w:pos="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Activate, Reflect and Co-Create: Preparing top talent for the rigors of executive roles.</w:t>
      </w:r>
    </w:p>
    <w:p>
      <w:pPr>
        <w:spacing w:after="0" w:line="143" w:lineRule="exact"/>
        <w:rPr>
          <w:rFonts w:ascii="Arial" w:cs="Arial" w:eastAsia="Arial" w:hAnsi="Arial"/>
          <w:sz w:val="18"/>
          <w:szCs w:val="18"/>
          <w:color w:val="auto"/>
        </w:rPr>
      </w:pPr>
    </w:p>
    <w:p>
      <w:pPr>
        <w:ind w:left="1040" w:right="40" w:hanging="250"/>
        <w:spacing w:after="0" w:line="256" w:lineRule="auto"/>
        <w:tabs>
          <w:tab w:leader="none" w:pos="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Women’s Leadership Program: Addressing the unique challenges faced by female leaders to increase influence and impact.</w:t>
      </w:r>
    </w:p>
    <w:p>
      <w:pPr>
        <w:spacing w:after="0" w:line="147" w:lineRule="exact"/>
        <w:rPr>
          <w:rFonts w:ascii="Arial" w:cs="Arial" w:eastAsia="Arial" w:hAnsi="Arial"/>
          <w:sz w:val="18"/>
          <w:szCs w:val="18"/>
          <w:color w:val="auto"/>
        </w:rPr>
      </w:pPr>
    </w:p>
    <w:p>
      <w:pPr>
        <w:ind w:left="1040" w:right="360" w:hanging="250"/>
        <w:spacing w:after="0" w:line="256" w:lineRule="auto"/>
        <w:tabs>
          <w:tab w:leader="none" w:pos="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Leadership Retreat: Immersing leaders in topics designed to help them shape culture and build resilience.</w:t>
      </w:r>
    </w:p>
    <w:p>
      <w:pPr>
        <w:spacing w:after="0" w:line="147" w:lineRule="exact"/>
        <w:rPr>
          <w:rFonts w:ascii="Arial" w:cs="Arial" w:eastAsia="Arial" w:hAnsi="Arial"/>
          <w:sz w:val="18"/>
          <w:szCs w:val="18"/>
          <w:color w:val="auto"/>
        </w:rPr>
      </w:pPr>
    </w:p>
    <w:p>
      <w:pPr>
        <w:ind w:left="1040" w:right="140" w:hanging="250"/>
        <w:spacing w:after="0" w:line="253" w:lineRule="auto"/>
        <w:tabs>
          <w:tab w:leader="none" w:pos="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Partnership, Inc's BioDiversity Fellows Program: To continue to bolster our talent pipeline with a diverse mix of leaders, high potential, mid-career, underrepresented minorities participate in this program, which we helped create.</w:t>
      </w:r>
    </w:p>
    <w:p>
      <w:pPr>
        <w:spacing w:after="0" w:line="151" w:lineRule="exact"/>
        <w:rPr>
          <w:sz w:val="20"/>
          <w:szCs w:val="20"/>
          <w:color w:val="auto"/>
        </w:rPr>
      </w:pPr>
    </w:p>
    <w:p>
      <w:pPr>
        <w:ind w:left="380" w:right="180" w:firstLine="405"/>
        <w:spacing w:after="0" w:line="256" w:lineRule="auto"/>
        <w:rPr>
          <w:sz w:val="20"/>
          <w:szCs w:val="20"/>
          <w:color w:val="auto"/>
        </w:rPr>
      </w:pPr>
      <w:r>
        <w:rPr>
          <w:rFonts w:ascii="Arial" w:cs="Arial" w:eastAsia="Arial" w:hAnsi="Arial"/>
          <w:sz w:val="18"/>
          <w:szCs w:val="18"/>
          <w:color w:val="auto"/>
        </w:rPr>
        <w:t>Our Employee Resource Networks (ERNs) provide invaluable opportunities for employees to share knowledge and build connections. Our current ERNs include:</w:t>
      </w:r>
    </w:p>
    <w:p>
      <w:pPr>
        <w:spacing w:after="0" w:line="148" w:lineRule="exact"/>
        <w:rPr>
          <w:sz w:val="20"/>
          <w:szCs w:val="20"/>
          <w:color w:val="auto"/>
        </w:rPr>
      </w:pPr>
    </w:p>
    <w:p>
      <w:pPr>
        <w:ind w:left="1040" w:right="220" w:hanging="250"/>
        <w:spacing w:after="0" w:line="261" w:lineRule="auto"/>
        <w:tabs>
          <w:tab w:leader="none" w:pos="9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IGNITE: Brings together early-career professionals and their advocates.</w:t>
      </w:r>
    </w:p>
    <w:p>
      <w:pPr>
        <w:spacing w:after="0" w:line="143" w:lineRule="exact"/>
        <w:rPr>
          <w:rFonts w:ascii="Arial" w:cs="Arial" w:eastAsia="Arial" w:hAnsi="Arial"/>
          <w:sz w:val="18"/>
          <w:szCs w:val="18"/>
          <w:color w:val="auto"/>
        </w:rPr>
      </w:pPr>
    </w:p>
    <w:p>
      <w:pPr>
        <w:ind w:left="1040" w:right="220" w:hanging="250"/>
        <w:spacing w:after="0" w:line="256" w:lineRule="auto"/>
        <w:tabs>
          <w:tab w:leader="none" w:pos="9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AccessAbility: Supports employees with disabilities and employees who are caretakers of individuals with disabilities.</w:t>
      </w:r>
    </w:p>
    <w:p>
      <w:pPr>
        <w:spacing w:after="0" w:line="147" w:lineRule="exact"/>
        <w:rPr>
          <w:rFonts w:ascii="Arial" w:cs="Arial" w:eastAsia="Arial" w:hAnsi="Arial"/>
          <w:sz w:val="18"/>
          <w:szCs w:val="18"/>
          <w:color w:val="auto"/>
        </w:rPr>
      </w:pPr>
    </w:p>
    <w:p>
      <w:pPr>
        <w:ind w:left="1040" w:right="280" w:hanging="250"/>
        <w:spacing w:after="0" w:line="291" w:lineRule="auto"/>
        <w:tabs>
          <w:tab w:leader="none" w:pos="9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Biogen Veterans Network: Encourages veterans and allies of veterans to connect and support one another.</w:t>
      </w:r>
    </w:p>
    <w:p>
      <w:pPr>
        <w:spacing w:after="0" w:line="119" w:lineRule="exact"/>
        <w:rPr>
          <w:rFonts w:ascii="Arial" w:cs="Arial" w:eastAsia="Arial" w:hAnsi="Arial"/>
          <w:sz w:val="17"/>
          <w:szCs w:val="17"/>
          <w:color w:val="auto"/>
        </w:rPr>
      </w:pPr>
    </w:p>
    <w:p>
      <w:pPr>
        <w:ind w:left="1040" w:right="20" w:hanging="250"/>
        <w:spacing w:after="0" w:line="256" w:lineRule="auto"/>
        <w:tabs>
          <w:tab w:leader="none" w:pos="9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Mosaic: Fosters awareness and appreciation of different cultural backgrounds, in addition to promoting networking and development opportunities for members.</w:t>
      </w:r>
    </w:p>
    <w:p>
      <w:pPr>
        <w:spacing w:after="0" w:line="147" w:lineRule="exact"/>
        <w:rPr>
          <w:rFonts w:ascii="Arial" w:cs="Arial" w:eastAsia="Arial" w:hAnsi="Arial"/>
          <w:sz w:val="18"/>
          <w:szCs w:val="18"/>
          <w:color w:val="auto"/>
        </w:rPr>
      </w:pPr>
    </w:p>
    <w:p>
      <w:pPr>
        <w:ind w:left="1040" w:right="320" w:hanging="250"/>
        <w:spacing w:after="0" w:line="256" w:lineRule="auto"/>
        <w:tabs>
          <w:tab w:leader="none" w:pos="9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ReachOUT: Supports a best-in-class working environment for LGBTQ employees and embraces all LGBTQ employees and their allies.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400" w:hanging="247"/>
        <w:spacing w:after="0" w:line="256"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Women’s Innovation Network: Creates networking, mentoring and learning opportunities for women and allies worldwide.</w:t>
      </w:r>
    </w:p>
    <w:p>
      <w:pPr>
        <w:spacing w:after="0" w:line="147" w:lineRule="exact"/>
        <w:rPr>
          <w:rFonts w:ascii="Arial" w:cs="Arial" w:eastAsia="Arial" w:hAnsi="Arial"/>
          <w:sz w:val="18"/>
          <w:szCs w:val="18"/>
          <w:color w:val="auto"/>
        </w:rPr>
      </w:pPr>
    </w:p>
    <w:p>
      <w:pPr>
        <w:ind w:left="660" w:right="40" w:hanging="247"/>
        <w:spacing w:after="0" w:line="256"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ourIMPACT: Advances climate, health and equity at work, in employees' personal lives and in the communities where we live and work.</w:t>
      </w:r>
    </w:p>
    <w:p>
      <w:pPr>
        <w:spacing w:after="0" w:line="14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Creating a culture where all colleagues feel supported and valued is paramount to our corporate mission. The ongoing COVID-19 pandemic has led to unique challenges, and we are striving to ensure the health, safety and general well-being of our employees. We continue to evolve our programs to meet our employees’ health and wellness needs, which we believe is essential to attract and retain employees of the highest caliber. For example, we have refreshed our flexible working arrangement policies to allow for more flexibility around work hours to help employees balance the demands of their work and home lives, shifted many of our on-site wellness services to virtual, including virtual behavior health, nutrition, fitness and overall well-being classes and counseling, rolled out the Headspace meditation app globally at no cost, provided workshops and programming to help employees cope with stress, isolation and building resilience, along with financial planning workshops and counseling sessions, expanded our child- and back-up care services to meet the growing childcare needs of our employees and provided additional holidays and time off for recharging, voting and volunteering.</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Employee surveys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talent to fill the roles that are most critical to the on-going success of our company. In addition, each year our Board of Directors reviews the succession plan for our executives.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573BA"/>
        </w:rPr>
        <w:t>Workplace Health and Safety</w:t>
      </w:r>
    </w:p>
    <w:p>
      <w:pPr>
        <w:spacing w:after="0" w:line="19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well-being of our employees is a top priority, and we believe each and every employee plays a role in creating a safe and healthy workplace. Our employees have varied roles and functions, which is why we empower them to promote a safe working environment, regardless of whether work happens in the lab, in an office or in a manufacturing plant. Our policies and practices are intended to protect not only our employees, but also the surrounding communities in which we operate.</w:t>
      </w:r>
    </w:p>
    <w:p>
      <w:pPr>
        <w:spacing w:after="0" w:line="151"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In 2020 we continued to make significant progress integrating Human Performance into our Environment, Health and Safety programs. We believe that, when it comes to safety, workers are part of the solution. We encourage employees to collaboratively engage in proactive problem solving through practices such as Open Reporting and Work Observation and Risk Conversations. We also utilize “After Action Reviews” following the completion of a project. These reviews enable us to not only focus on areas for improvement, but also to learn and apply good practices from what goes well. By engaging and empowering our employees through such programs, we believe that we can help change how the entire industry approaches safety performance and risk management.</w:t>
      </w:r>
    </w:p>
    <w:p>
      <w:pPr>
        <w:spacing w:after="0" w:line="587" w:lineRule="exact"/>
        <w:rPr>
          <w:sz w:val="20"/>
          <w:szCs w:val="20"/>
          <w:color w:val="auto"/>
        </w:rPr>
      </w:pPr>
    </w:p>
    <w:p>
      <w:pPr>
        <w:sectPr>
          <w:pgSz w:w="11900" w:h="16838" w:orient="portrait"/>
          <w:cols w:equalWidth="0" w:num="2">
            <w:col w:w="5220" w:space="680"/>
            <w:col w:w="5220"/>
          </w:cols>
          <w:pgMar w:left="320" w:top="144" w:right="459" w:bottom="1440" w:gutter="0" w:footer="0" w:header="0"/>
        </w:sectPr>
      </w:pPr>
    </w:p>
    <w:p>
      <w:pPr>
        <w:ind w:left="420"/>
        <w:spacing w:after="0"/>
        <w:rPr>
          <w:sz w:val="20"/>
          <w:szCs w:val="20"/>
          <w:color w:val="auto"/>
        </w:rPr>
      </w:pPr>
      <w:r>
        <w:rPr>
          <w:rFonts w:ascii="Arial" w:cs="Arial" w:eastAsia="Arial" w:hAnsi="Arial"/>
          <w:sz w:val="18"/>
          <w:szCs w:val="18"/>
          <w:color w:val="auto"/>
        </w:rPr>
        <w:t>We utilize an employee survey program to pulse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email and mobile apps as well as provide an opportunity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commentary and facilitate feedback to questions. The survey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designed to empower managers and leaders with anonymous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their practices related to building culture,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an engaged workforce, allowing them to create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plans and measure efficacy for continuous improvement.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 deeply about employee feedback and are building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analytics community across Human Resources to bring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rigor and sophistication to the collection and analysis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opinions. We use their perspectives to guide us to take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actions that improve engagement and support and help maintain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reputation as a great place to work for all of our employees.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Succession planning</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year we conduct a talent review across our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enterprise that includes, among other important topics, a review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succession plans for many of our roles. To help ensure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continuity of our business, we actively manage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of</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Information about our Executive Officers (as of February 3,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0" w:type="dxa"/>
            <w:vAlign w:val="bottom"/>
          </w:tcPr>
          <w:p>
            <w:pPr>
              <w:spacing w:after="0"/>
              <w:rPr>
                <w:sz w:val="1"/>
                <w:szCs w:val="1"/>
                <w:color w:val="auto"/>
              </w:rPr>
            </w:pPr>
          </w:p>
        </w:tc>
      </w:tr>
      <w:tr>
        <w:trPr>
          <w:trHeight w:val="162"/>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Officer</w:t>
            </w:r>
          </w:p>
        </w:tc>
        <w:tc>
          <w:tcPr>
            <w:tcW w:w="100" w:type="dxa"/>
            <w:vAlign w:val="bottom"/>
            <w:vMerge w:val="restart"/>
          </w:tcPr>
          <w:p>
            <w:pPr>
              <w:spacing w:after="0"/>
              <w:rPr>
                <w:sz w:val="14"/>
                <w:szCs w:val="14"/>
                <w:color w:val="auto"/>
              </w:rPr>
            </w:pPr>
          </w:p>
        </w:tc>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Current Position</w:t>
            </w:r>
          </w:p>
        </w:tc>
        <w:tc>
          <w:tcPr>
            <w:tcW w:w="100" w:type="dxa"/>
            <w:vAlign w:val="bottom"/>
            <w:vMerge w:val="restart"/>
          </w:tcPr>
          <w:p>
            <w:pPr>
              <w:spacing w:after="0"/>
              <w:rPr>
                <w:sz w:val="14"/>
                <w:szCs w:val="14"/>
                <w:color w:val="auto"/>
              </w:rPr>
            </w:pPr>
          </w:p>
        </w:tc>
        <w:tc>
          <w:tcPr>
            <w:tcW w:w="5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vMerge w:val="restart"/>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Joined</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Biogen</w:t>
            </w:r>
          </w:p>
        </w:tc>
        <w:tc>
          <w:tcPr>
            <w:tcW w:w="0" w:type="dxa"/>
            <w:vAlign w:val="bottom"/>
          </w:tcPr>
          <w:p>
            <w:pPr>
              <w:spacing w:after="0"/>
              <w:rPr>
                <w:sz w:val="1"/>
                <w:szCs w:val="1"/>
                <w:color w:val="auto"/>
              </w:rPr>
            </w:pPr>
          </w:p>
        </w:tc>
      </w:tr>
      <w:tr>
        <w:trPr>
          <w:trHeight w:val="206"/>
        </w:trPr>
        <w:tc>
          <w:tcPr>
            <w:tcW w:w="3240" w:type="dxa"/>
            <w:vAlign w:val="bottom"/>
          </w:tcPr>
          <w:p>
            <w:pPr>
              <w:ind w:left="20"/>
              <w:spacing w:after="0"/>
              <w:rPr>
                <w:sz w:val="20"/>
                <w:szCs w:val="20"/>
                <w:color w:val="auto"/>
              </w:rPr>
            </w:pPr>
            <w:r>
              <w:rPr>
                <w:rFonts w:ascii="Arial" w:cs="Arial" w:eastAsia="Arial" w:hAnsi="Arial"/>
                <w:sz w:val="16"/>
                <w:szCs w:val="16"/>
                <w:b w:val="1"/>
                <w:bCs w:val="1"/>
                <w:color w:val="2573BA"/>
              </w:rPr>
              <w:t>Michel Vounatsos</w:t>
            </w:r>
          </w:p>
        </w:tc>
        <w:tc>
          <w:tcPr>
            <w:tcW w:w="100" w:type="dxa"/>
            <w:vAlign w:val="bottom"/>
          </w:tcPr>
          <w:p>
            <w:pPr>
              <w:spacing w:after="0"/>
              <w:rPr>
                <w:sz w:val="17"/>
                <w:szCs w:val="17"/>
                <w:color w:val="auto"/>
              </w:rPr>
            </w:pP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5"/>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Susan H. Alexander</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Chief Legal Officer and Secretary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Michael R. McDonnell</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Alphonse Galdes, Ph.D.</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Pharmaceutical Operations and Technology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Ginger Gregory, Ph.D.</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Chirfi Guindo</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 Strategy and Commercialization</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Robin C. Kramer</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Senior Vice President, Chief Accounting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2573BA"/>
              </w:rPr>
              <w:t>Alfred W. Sandrock, Jr., M.D., Ph.D.</w:t>
            </w:r>
          </w:p>
        </w:tc>
        <w:tc>
          <w:tcPr>
            <w:tcW w:w="64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Research and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right="120"/>
        <w:spacing w:after="0" w:line="207" w:lineRule="auto"/>
        <w:rPr>
          <w:sz w:val="20"/>
          <w:szCs w:val="20"/>
          <w:color w:val="auto"/>
        </w:rPr>
      </w:pPr>
      <w:r>
        <w:rPr>
          <w:rFonts w:ascii="Arial" w:cs="Arial" w:eastAsia="Arial" w:hAnsi="Arial"/>
          <w:sz w:val="18"/>
          <w:szCs w:val="18"/>
          <w:color w:val="auto"/>
        </w:rPr>
        <w:t>Mr. Vounatsos has served as our Chief Executive Officer and as a member of our Board of Directors since January 2017. Prior to that, from April 2016 to December 2016, Mr. Vounatsos served as our Executive Vice President, Chief Commercial Officer. Prior to joining Biogen, Mr. Vounatsos spent 20 years at Merck &amp; Co., Inc. (Merck), a pharmaceutical company, where he most recently served as President, Primary Care, Customer Business Line and Merck Customer Centricity. In this role, he led Merck’s global primary care business unit, a role which encompassed Merck’s cardiology-metabolic, general medicine, women’s health and biosimilars groups and developed and instituted a strategic framework for enhancing the company’s relationships with key constituents, including the most significant providers, payors and retailers and the world’s largest governments. Mr. Vounatsos previously held leadership positions across Europe and in China for Merck. Prior to that, Mr. Vounatsos held management positions at Ciba-Geigy, a pharmaceutical company. Mr. Vounatsos currently serves on the advisory board of Tsinghua University School of Pharmaceutical Sciences, on the Supervisory Board of Liryc, the Electrophysiology and Heart Modeling Institute at the University of Bordeaux, on the board of directors of N-Lorem Foundation and as a member of the MIT Presidential CEO Advisory Board.</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2" w:lineRule="exact"/>
        <w:rPr>
          <w:sz w:val="20"/>
          <w:szCs w:val="20"/>
          <w:color w:val="auto"/>
        </w:rPr>
      </w:pPr>
    </w:p>
    <w:p>
      <w:pPr>
        <w:ind w:left="40" w:right="4080" w:firstLine="486"/>
        <w:spacing w:after="0" w:line="255" w:lineRule="auto"/>
        <w:tabs>
          <w:tab w:leader="none" w:pos="58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 xml:space="preserve">PerkinElmer, Inc., a global scientific technology and life science research company </w:t>
      </w:r>
      <w:r>
        <w:rPr>
          <w:rFonts w:ascii="Arial" w:cs="Arial" w:eastAsia="Arial" w:hAnsi="Arial"/>
          <w:sz w:val="18"/>
          <w:szCs w:val="18"/>
          <w:i w:val="1"/>
          <w:iCs w:val="1"/>
          <w:color w:val="538235"/>
        </w:rPr>
        <w:t>Education</w:t>
      </w:r>
    </w:p>
    <w:p>
      <w:pPr>
        <w:ind w:left="580" w:hanging="54"/>
        <w:spacing w:after="0"/>
        <w:tabs>
          <w:tab w:leader="none" w:pos="58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Universite Victor Segalen, Bordeaux II, France, C.S.C.T. Certificate in Medicine</w:t>
      </w:r>
    </w:p>
    <w:p>
      <w:pPr>
        <w:spacing w:after="0" w:line="39"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HEC School of Management - Paris,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-324485</wp:posOffset>
            </wp:positionV>
            <wp:extent cx="71062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right="60"/>
        <w:spacing w:after="0" w:line="209" w:lineRule="auto"/>
        <w:rPr>
          <w:sz w:val="20"/>
          <w:szCs w:val="20"/>
          <w:color w:val="auto"/>
        </w:rPr>
      </w:pPr>
      <w:r>
        <w:rPr>
          <w:rFonts w:ascii="Arial" w:cs="Arial" w:eastAsia="Arial" w:hAnsi="Arial"/>
          <w:sz w:val="18"/>
          <w:szCs w:val="18"/>
          <w:color w:val="auto"/>
        </w:rPr>
        <w:t>Ms. Alexander has served as our Executive Vice President, Chief Legal Officer and Secretary since April 2018. Prior to that, Ms. Alexander served as our Executive Vice President, Chief Legal, Corporate Services and Secretary from March 2017 to March 2018, as our Executive Vice President, Chief Legal Officer and Secretary from December 2011 to March 2017 and as our Executive Vice President, General Counsel and Corporate Secretary from 2006 to December 2011. Prior to joining Biogen, Ms. Alexander served as the Senior Vice President, General Counsel and Corporate Secretary of PAREXEL International Corporation, a biopharmaceutical services company, from 2003 to January 2006.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9" w:lineRule="exact"/>
        <w:rPr>
          <w:sz w:val="20"/>
          <w:szCs w:val="20"/>
          <w:color w:val="auto"/>
        </w:rPr>
      </w:pPr>
    </w:p>
    <w:p>
      <w:pPr>
        <w:ind w:left="40" w:right="5440" w:firstLine="486"/>
        <w:spacing w:after="0" w:line="232" w:lineRule="auto"/>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 xml:space="preserve">Invacare Corporation, a medical and healthcare product company </w:t>
      </w:r>
      <w:r>
        <w:rPr>
          <w:rFonts w:ascii="Arial" w:cs="Arial" w:eastAsia="Arial" w:hAnsi="Arial"/>
          <w:sz w:val="18"/>
          <w:szCs w:val="18"/>
          <w:i w:val="1"/>
          <w:iCs w:val="1"/>
          <w:color w:val="538235"/>
        </w:rPr>
        <w:t>Education</w:t>
      </w:r>
    </w:p>
    <w:p>
      <w:pPr>
        <w:spacing w:after="0" w:line="1" w:lineRule="exact"/>
        <w:rPr>
          <w:rFonts w:ascii="Arial" w:cs="Arial" w:eastAsia="Arial" w:hAnsi="Arial"/>
          <w:sz w:val="22"/>
          <w:szCs w:val="22"/>
          <w:color w:val="auto"/>
          <w:vertAlign w:val="superscript"/>
        </w:rPr>
      </w:pPr>
    </w:p>
    <w:p>
      <w:pPr>
        <w:ind w:left="580" w:hanging="54"/>
        <w:spacing w:after="0" w:line="230" w:lineRule="auto"/>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Wellesley College, B.A.</w:t>
      </w:r>
    </w:p>
    <w:p>
      <w:pPr>
        <w:spacing w:after="0" w:line="13"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Boston University School of Law,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-299085</wp:posOffset>
            </wp:positionV>
            <wp:extent cx="71062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48" w:lineRule="exact"/>
        <w:rPr>
          <w:sz w:val="20"/>
          <w:szCs w:val="20"/>
          <w:color w:val="auto"/>
        </w:rPr>
      </w:pPr>
    </w:p>
    <w:p>
      <w:pPr>
        <w:ind w:left="40"/>
        <w:spacing w:after="0" w:line="236" w:lineRule="auto"/>
        <w:rPr>
          <w:sz w:val="20"/>
          <w:szCs w:val="20"/>
          <w:color w:val="auto"/>
        </w:rPr>
      </w:pPr>
      <w:r>
        <w:rPr>
          <w:rFonts w:ascii="Arial" w:cs="Arial" w:eastAsia="Arial" w:hAnsi="Arial"/>
          <w:sz w:val="18"/>
          <w:szCs w:val="18"/>
          <w:color w:val="auto"/>
        </w:rPr>
        <w:t>Mr. McDonnell has served as our Executive Vice President and Chief Financial Officer since August 2020. Prior to joining Biogen, Mr. McDonnell served as Executive Vice President and Chief Financial Officer of IQVIA Holdings Inc., a leading global provider of advanced analytics, technology solutions and contract research services to the life sciences industry, from December 2015 until July 2020. Prior to that, Mr. McDonnell served as the Executive Vice President and Chief Financial Officer of Intelsat, a leading global provider of satellite services, from November 2008 to December 2015, as Executive Vice President and Chief Financial Officer of MCG Capital Corporation, a publicly-held commercial finance company, from September 2004 until October 2008 and as MCG Capital Corporation’s Chief Operating Officer from August 2006 until October 2008. Before joining MCG Capital Corporation, Mr. McDonnell served as Executive Vice President and Chief Financial Officer for EchoStar Communications Corporation (f/k/a DISH Network Corporation), a direct-to-home satellite television operator, from July 2004 until August 2004 and as its Senior Vice President and Chief Financial Officer from August 2000 to July 2004. Mr. McDonnell spent 14 years at PricewaterhouseCoopers LLP, including 4 years as a partner. Mr. McDonnell has a Bachelor of Science degree in accounting from Georgetown University and is a certified public accountant.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80" w:hanging="54"/>
        <w:spacing w:after="0"/>
        <w:tabs>
          <w:tab w:leader="none" w:pos="58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Georgetown University, B.S. Accounting</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Alphonse Galdes,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right="120"/>
        <w:spacing w:after="0" w:line="213" w:lineRule="auto"/>
        <w:rPr>
          <w:sz w:val="20"/>
          <w:szCs w:val="20"/>
          <w:color w:val="auto"/>
        </w:rPr>
      </w:pPr>
      <w:r>
        <w:rPr>
          <w:rFonts w:ascii="Arial" w:cs="Arial" w:eastAsia="Arial" w:hAnsi="Arial"/>
          <w:sz w:val="18"/>
          <w:szCs w:val="18"/>
          <w:color w:val="auto"/>
        </w:rPr>
        <w:t>Dr. Galdes has served as our Executive Vice President, Pharmaceutical Operations and Technology since September 2019. Since joining Biogen in 1995, Dr. Galdes has held several senior executive positions, including most recently as Senior Vice President, Asset Development and Portfolio Management from November 2015 to September 2019 and Senior Vice President, Technical Development from October 2010 to November 2015. Dr. Galdes was a Rhodes Scholar at Oxford University and performed post-doctoral research work at the Department of Biological Chemistry at Harvard Medical School.</w:t>
      </w: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80" w:hanging="54"/>
        <w:spacing w:after="0"/>
        <w:tabs>
          <w:tab w:leader="none" w:pos="58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University of Malta, B.Sc. Chemistry and Biology</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University of Malta, M.Sc. Biochemistry</w:t>
      </w:r>
    </w:p>
    <w:p>
      <w:pPr>
        <w:spacing w:after="0" w:line="13"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Oxford University, Ph.D. Biochemistry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Ginger Gregory,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right="120"/>
        <w:spacing w:after="0" w:line="208" w:lineRule="auto"/>
        <w:rPr>
          <w:sz w:val="20"/>
          <w:szCs w:val="20"/>
          <w:color w:val="auto"/>
        </w:rPr>
      </w:pPr>
      <w:r>
        <w:rPr>
          <w:rFonts w:ascii="Arial" w:cs="Arial" w:eastAsia="Arial" w:hAnsi="Arial"/>
          <w:sz w:val="18"/>
          <w:szCs w:val="18"/>
          <w:color w:val="auto"/>
        </w:rPr>
        <w:t>Dr. Gregory has served as our Executive Vice President and Chief Human Resources Officer since July 2017. Prior to joining Biogen, Dr. 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Group Inc., a restaurant holding company, where she served as Chief Human Resource Officer, Novartis AG, a pharmaceutical company, where she was the division head of Human Resources for Novartis Vaccines and Diagnostics, Novartis Consumer Health and Novartis Institutes of BioMedical Research and Novo Nordisk A/S, a pharmaceutical company, where she served as Senior Vice President, Corporate People &amp; Organization at the company’s headquarters in Copenhagen, Denmark. Earlier in her career, Dr. Gregory held a variety of human resources generalist and specialist positions at BMS, a pharmaceutical company, and served as a consultant with Booz Allen &amp; Hamilton, an information technology consulting company, in the area of organization change and effectiveness.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580" w:hanging="54"/>
        <w:spacing w:after="0"/>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University of Massachusetts, B.A. Psychology</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The George Washington University, Ph.D. Psychology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Chirfi Guindo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4" w:lineRule="exact"/>
        <w:rPr>
          <w:sz w:val="20"/>
          <w:szCs w:val="20"/>
          <w:color w:val="auto"/>
        </w:rPr>
      </w:pPr>
    </w:p>
    <w:p>
      <w:pPr>
        <w:ind w:left="60"/>
        <w:spacing w:after="0" w:line="209" w:lineRule="auto"/>
        <w:rPr>
          <w:sz w:val="20"/>
          <w:szCs w:val="20"/>
          <w:color w:val="auto"/>
        </w:rPr>
      </w:pPr>
      <w:r>
        <w:rPr>
          <w:rFonts w:ascii="Arial" w:cs="Arial" w:eastAsia="Arial" w:hAnsi="Arial"/>
          <w:sz w:val="18"/>
          <w:szCs w:val="18"/>
          <w:color w:val="auto"/>
        </w:rPr>
        <w:t>Mr. Guindo has served as our Executive Vice President, Global Product Strategy and Commercialization since February 2019. Prior to that, Mr. Guindo served as our Executive Vice President and Head of Global Marketing, Market Access and Customer Innovation from November 2017 to February 2019. Prior to joining Biogen, Mr. Guindo spent 27 years in the global pharmaceutical industry and held several leadership positions at Merck, a pharmaceutical company, in Canada, the U.S., France, Africa and the Netherlands. He worked in several disciplines including Finance, Sales &amp; Marketing, General Management and Global Strategy/Product Development in specialty, acute and hospital care. Most recently Mr. Guindo was Vice President and Managing Director and President and Managing Director of Merck Canada from October 2014 to November 2017. From January 2011 to October 2014 he was Vice President and General Manager, Global HIV Franchise at Merck.</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ind w:left="580" w:hanging="54"/>
        <w:spacing w:after="0"/>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Ecole Central de Paris (France), Engineering</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Stern School of Business, New York University, M.B.A. Finance/Economics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4" w:lineRule="exact"/>
        <w:rPr>
          <w:sz w:val="20"/>
          <w:szCs w:val="20"/>
          <w:color w:val="auto"/>
        </w:rPr>
      </w:pPr>
    </w:p>
    <w:p>
      <w:pPr>
        <w:ind w:left="60" w:right="20"/>
        <w:spacing w:after="0" w:line="207" w:lineRule="auto"/>
        <w:rPr>
          <w:sz w:val="20"/>
          <w:szCs w:val="20"/>
          <w:color w:val="auto"/>
        </w:rPr>
      </w:pPr>
      <w:r>
        <w:rPr>
          <w:rFonts w:ascii="Arial" w:cs="Arial" w:eastAsia="Arial" w:hAnsi="Arial"/>
          <w:sz w:val="18"/>
          <w:szCs w:val="18"/>
          <w:color w:val="auto"/>
        </w:rPr>
        <w:t>Ms. Kramer has served as our Senior Vice President, Chief Accounting Officer since December 2020. Prior to that, Ms. Kramer served as our Vice President, Chief Accounting Officer from November 2018 to December 2020. Prior to joining Biogen, Ms. Kramer served as the Senior Vice President and Chief Accounting Officer of Hertz Global Holdings, Inc., a car rental company, from May 2014 to November 2018. Prior to that, Ms. Kramer was an audit partner at Deloitte &amp; Touche LLP (Deloitte), a professional services firm, from 2007 to 2014, including serving in Deloitte's National Office Accounting Standards and Communications Group from 2007 to 2010. From 2005 to 2007 Ms. Kramer served as Chief Accounting Officer of Fisher Scientific International, Inc., a laboratory supply and biotechnology company, and from 2004 to 2005 Ms. Kramer served as Director, External Reporting, Accounting and Control for the Gillette Company, a personal care company. Ms. Kramer also held partner positions in the public accounting firms of Ernst &amp; Young LLP and Arthur Anderson LLP. Ms. Kramer is a licensed certified public accountant (CPA) in Massachusetts. She is a member of the Massachusetts Society of CPAs and the American Institute of CPAs. Ms. Kramer currently serves on the board of directors of Samsung Bioepis and on the board of directors of the Center for Women and Enterprise. Ms. Kramer previously served as a Board Member for the Massachusetts State Board of Accountancy from September 2011 to December 2015 and Probus Insurance Company Europe DAC from 2016 to 2018.</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9" w:lineRule="exact"/>
        <w:rPr>
          <w:sz w:val="20"/>
          <w:szCs w:val="20"/>
          <w:color w:val="auto"/>
        </w:rPr>
      </w:pPr>
    </w:p>
    <w:p>
      <w:pPr>
        <w:ind w:left="60" w:right="6100" w:firstLine="466"/>
        <w:spacing w:after="0" w:line="232" w:lineRule="auto"/>
        <w:tabs>
          <w:tab w:leader="none" w:pos="587"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 xml:space="preserve">Armata Pharmaceuticals, Inc., a biotechnology company </w:t>
      </w:r>
      <w:r>
        <w:rPr>
          <w:rFonts w:ascii="Arial" w:cs="Arial" w:eastAsia="Arial" w:hAnsi="Arial"/>
          <w:sz w:val="18"/>
          <w:szCs w:val="18"/>
          <w:i w:val="1"/>
          <w:iCs w:val="1"/>
          <w:color w:val="538235"/>
        </w:rPr>
        <w:t>Education</w:t>
      </w:r>
    </w:p>
    <w:p>
      <w:pPr>
        <w:spacing w:after="0" w:line="1" w:lineRule="exact"/>
        <w:rPr>
          <w:rFonts w:ascii="Arial" w:cs="Arial" w:eastAsia="Arial" w:hAnsi="Arial"/>
          <w:sz w:val="22"/>
          <w:szCs w:val="22"/>
          <w:color w:val="auto"/>
          <w:vertAlign w:val="superscript"/>
        </w:rPr>
      </w:pPr>
    </w:p>
    <w:p>
      <w:pPr>
        <w:ind w:left="580" w:hanging="54"/>
        <w:spacing w:after="0" w:line="230" w:lineRule="auto"/>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Salem State University, B.B.A.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-153035</wp:posOffset>
            </wp:positionV>
            <wp:extent cx="70891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Alfred W. Sandrock, Jr.,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4" w:lineRule="exact"/>
        <w:rPr>
          <w:sz w:val="20"/>
          <w:szCs w:val="20"/>
          <w:color w:val="auto"/>
        </w:rPr>
      </w:pPr>
    </w:p>
    <w:p>
      <w:pPr>
        <w:jc w:val="both"/>
        <w:ind w:left="40" w:right="80"/>
        <w:spacing w:after="0" w:line="203" w:lineRule="auto"/>
        <w:rPr>
          <w:sz w:val="20"/>
          <w:szCs w:val="20"/>
          <w:color w:val="auto"/>
        </w:rPr>
      </w:pPr>
      <w:r>
        <w:rPr>
          <w:rFonts w:ascii="Arial" w:cs="Arial" w:eastAsia="Arial" w:hAnsi="Arial"/>
          <w:sz w:val="18"/>
          <w:szCs w:val="18"/>
          <w:color w:val="auto"/>
        </w:rPr>
        <w:t>Dr. Sandrock has served as our Executive Vice President, Research and Development since September 2019. Prior to that, Dr. Sandrock served as our Chief Medical Officer from October 2017 to January 2020, as our Executive Vice President, Chief Medical Officer Neurology and Neurodegeneration from October 2015 to October 2017, as our Chief Medical Officer and Group Senior Vice President from April 2013 to October 2015 and as our Chief Medical Officer and Senior Vice President of Development Sciences from February 2012 to April 2013.</w:t>
      </w:r>
    </w:p>
    <w:p>
      <w:pPr>
        <w:spacing w:after="0" w:line="2" w:lineRule="exact"/>
        <w:rPr>
          <w:sz w:val="20"/>
          <w:szCs w:val="20"/>
          <w:color w:val="auto"/>
        </w:rPr>
      </w:pPr>
    </w:p>
    <w:p>
      <w:pPr>
        <w:ind w:left="40" w:right="400"/>
        <w:spacing w:after="0" w:line="227" w:lineRule="auto"/>
        <w:rPr>
          <w:sz w:val="20"/>
          <w:szCs w:val="20"/>
          <w:color w:val="auto"/>
        </w:rPr>
      </w:pPr>
      <w:r>
        <w:rPr>
          <w:rFonts w:ascii="Arial" w:cs="Arial" w:eastAsia="Arial" w:hAnsi="Arial"/>
          <w:sz w:val="18"/>
          <w:szCs w:val="18"/>
          <w:color w:val="auto"/>
        </w:rPr>
        <w:t>Prior to that, Dr. Sandrock held several other senior executive positions since joining Biogen in 1998, including Senior Vice President of Neurology Research and Development and Vice President of Clinical Development, Neurology.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80" w:hanging="54"/>
        <w:spacing w:after="0"/>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Stanford University, B.A. Human Biology</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Harvard Medical School, M.D.</w:t>
      </w:r>
    </w:p>
    <w:p>
      <w:pPr>
        <w:spacing w:after="0" w:line="13"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Harvard University, Ph.D. Neurobiology</w:t>
      </w:r>
    </w:p>
    <w:p>
      <w:pPr>
        <w:spacing w:after="0" w:line="13" w:lineRule="exact"/>
        <w:rPr>
          <w:rFonts w:ascii="Arial" w:cs="Arial" w:eastAsia="Arial" w:hAnsi="Arial"/>
          <w:sz w:val="22"/>
          <w:szCs w:val="22"/>
          <w:color w:val="auto"/>
          <w:vertAlign w:val="superscript"/>
        </w:rPr>
      </w:pPr>
    </w:p>
    <w:p>
      <w:pPr>
        <w:ind w:left="580" w:right="660" w:hanging="54"/>
        <w:spacing w:after="0" w:line="204"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Massachusetts General Hospital, internship in Medicine, residency and chief residency in Neurology and clinical fellowship in Neuromuscular Disease and Clinical Neurophysiology (electromyography)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Available Information</w:t>
      </w:r>
    </w:p>
    <w:p>
      <w:pPr>
        <w:spacing w:after="0" w:line="10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225 Binney Street, Cambridge, MA 02142 and our telephone number is (617) 679 -2000. Our website address is www.biogen.com. We make available free of charge through the </w:t>
      </w:r>
      <w:r>
        <w:rPr>
          <w:rFonts w:ascii="Arial" w:cs="Arial" w:eastAsia="Arial" w:hAnsi="Arial"/>
          <w:sz w:val="18"/>
          <w:szCs w:val="18"/>
          <w:i w:val="1"/>
          <w:iCs w:val="1"/>
          <w:color w:val="auto"/>
        </w:rPr>
        <w:t>Investors</w:t>
      </w:r>
      <w:r>
        <w:rPr>
          <w:rFonts w:ascii="Arial" w:cs="Arial" w:eastAsia="Arial" w:hAnsi="Arial"/>
          <w:sz w:val="18"/>
          <w:szCs w:val="18"/>
          <w:color w:val="auto"/>
        </w:rPr>
        <w:t xml:space="preserve"> section of our website our Annual Reports on Form 10-K, Quarterly Reports on Form 10-Q, Current Reports on Form 8-K and all amendments to those reports as soon as reasonably practicable after such material is</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electronically filed with or furnished to the U.S. Securities and Exchange Commission. We include our website address in this report only as an inactive textual reference and do not intend it to be an active link to our website. The contents of our website are not incorporated into this report.</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1C5A7D"/>
        </w:rPr>
        <w:t>Item 1A.</w:t>
      </w:r>
      <w:r>
        <w:rPr>
          <w:sz w:val="20"/>
          <w:szCs w:val="20"/>
          <w:color w:val="auto"/>
        </w:rPr>
        <w:tab/>
      </w:r>
      <w:r>
        <w:rPr>
          <w:rFonts w:ascii="Arial" w:cs="Arial" w:eastAsia="Arial" w:hAnsi="Arial"/>
          <w:sz w:val="21"/>
          <w:szCs w:val="21"/>
          <w:b w:val="1"/>
          <w:bCs w:val="1"/>
          <w:color w:val="1C5A7D"/>
        </w:rPr>
        <w:t>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We are substantially dependent on revenues from our products.</w:t>
      </w:r>
    </w:p>
    <w:p>
      <w:pPr>
        <w:spacing w:after="0" w:line="11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revenues depend upon continued sales of our products as well as the financial rights we have in our anti-CD20 therapeutic programs. A significant portion of our revenues are concentrated on sales of our products in increasingly competitive markets and in markets affected directly and indirectly by the COVID-19 pandemic. Any of the following negative developments relating to any of our products or any of our anti-CD20 therapeutic programs may adversely affect our revenues and results of operations or could cause a decline in our stock price:</w:t>
      </w:r>
    </w:p>
    <w:p>
      <w:pPr>
        <w:spacing w:after="0" w:line="97" w:lineRule="exact"/>
        <w:rPr>
          <w:sz w:val="20"/>
          <w:szCs w:val="20"/>
          <w:color w:val="auto"/>
        </w:rPr>
      </w:pPr>
    </w:p>
    <w:p>
      <w:pPr>
        <w:ind w:left="740" w:right="80" w:hanging="327"/>
        <w:spacing w:after="0" w:line="261"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introduction or greater acceptance of competing products, including new originator therapies, generics, prodrugs and biosimilars of existing products and products approved under abbreviated regulatory pathways;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740" w:right="40" w:hanging="327"/>
        <w:spacing w:after="0" w:line="256"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 parties;</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legal, administrative, regulatory or legislative developments;</w:t>
      </w:r>
    </w:p>
    <w:p>
      <w:pPr>
        <w:spacing w:after="0" w:line="117"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 or</w:t>
      </w:r>
    </w:p>
    <w:p>
      <w:pPr>
        <w:spacing w:after="0" w:line="89"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or reluctance of patients to receive a diagnosis, prescription or administration of our products or a decision to prescribe and administer competitive therapies as a direct or indirect result of the COVID-19 pandemic.</w:t>
      </w:r>
    </w:p>
    <w:p>
      <w:pPr>
        <w:spacing w:after="0" w:line="122" w:lineRule="exact"/>
        <w:rPr>
          <w:sz w:val="20"/>
          <w:szCs w:val="20"/>
          <w:color w:val="auto"/>
        </w:rPr>
      </w:pPr>
    </w:p>
    <w:p>
      <w:pPr>
        <w:ind w:right="220" w:firstLine="243"/>
        <w:spacing w:after="0" w:line="287"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67"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Our long-term success will depend upon the successful development of new products and technologies from our research and development activities or our licenses or acquisitions from third parties, including our commercialization agreements with Samsung Bioepis, as well as additional indications for our existing products.</w:t>
      </w:r>
    </w:p>
    <w:p>
      <w:pPr>
        <w:spacing w:after="0" w:line="94" w:lineRule="exact"/>
        <w:rPr>
          <w:sz w:val="20"/>
          <w:szCs w:val="20"/>
          <w:color w:val="auto"/>
        </w:rPr>
      </w:pPr>
    </w:p>
    <w:p>
      <w:pPr>
        <w:ind w:firstLine="405"/>
        <w:spacing w:after="0" w:line="236"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ASO platform and gene therapy, may present additional challenges and risks, including obtaining approval from regulatory authorities that have limited experience with the development of such therapies. In addition, 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w:t>
      </w:r>
    </w:p>
    <w:p>
      <w:pPr>
        <w:spacing w:after="0" w:line="100"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97" w:lineRule="exact"/>
        <w:rPr>
          <w:sz w:val="20"/>
          <w:szCs w:val="20"/>
          <w:color w:val="auto"/>
        </w:rPr>
      </w:pPr>
    </w:p>
    <w:p>
      <w:pPr>
        <w:ind w:right="200" w:firstLine="401"/>
        <w:spacing w:after="0" w:line="256"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of new products or products with additional indications may also not meet investor expectations.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39" w:lineRule="exact"/>
        <w:rPr>
          <w:sz w:val="20"/>
          <w:szCs w:val="20"/>
          <w:color w:val="auto"/>
        </w:rPr>
      </w:pPr>
    </w:p>
    <w:p>
      <w:pPr>
        <w:ind w:right="40" w:firstLine="243"/>
        <w:spacing w:after="0" w:line="253"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revenues. For instance, demand and price for TECFIDERA declined significantly as a result of multiple TECFIDERA generic entrants entering the U.S. market during the year ended December 31, 2020. In addition, in some markets, when a generic or biosimilar version of one of our products is commercialized, it may be automatically substituted for our product and significantly reduce our revenues in a short period of time.</w:t>
      </w:r>
    </w:p>
    <w:p>
      <w:pPr>
        <w:spacing w:after="0" w:line="97"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In the MS market, we face intense competition as the number of products and competitors continues to expand. Due to our significant reliance on sales of our MS products, our business could be harmed if we are unable to successfully compete in the MS market. More specifically, our ability to compete, maintain and grow our share in the MS market may be adversely affected due to a number of factors, including:</w:t>
      </w:r>
    </w:p>
    <w:p>
      <w:pPr>
        <w:spacing w:after="0" w:line="96" w:lineRule="exact"/>
        <w:rPr>
          <w:sz w:val="20"/>
          <w:szCs w:val="20"/>
          <w:color w:val="auto"/>
        </w:rPr>
      </w:pPr>
    </w:p>
    <w:p>
      <w:pPr>
        <w:ind w:left="740" w:right="340" w:hanging="327"/>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introduction of more efficacious, safer, less expensive or more convenient alternatives to our MS products, including our own products and products of our collaborators;</w:t>
      </w:r>
    </w:p>
    <w:p>
      <w:pPr>
        <w:spacing w:after="0" w:line="89" w:lineRule="exact"/>
        <w:rPr>
          <w:rFonts w:ascii="Arial" w:cs="Arial" w:eastAsia="Arial" w:hAnsi="Arial"/>
          <w:sz w:val="18"/>
          <w:szCs w:val="18"/>
          <w:color w:val="auto"/>
        </w:rPr>
      </w:pPr>
    </w:p>
    <w:p>
      <w:pPr>
        <w:ind w:left="740" w:hanging="327"/>
        <w:spacing w:after="0" w:line="254"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introduction of generic versions of branded MS products, including our own products, biosimilars, follow-on products, prodrugs or products approved under abbreviated regulatory pathways, which would be significantly less costly than our products to bring to market and would be offered for sale at lower prices, and could result in a significant percentage of the sales of our products being lost to such products;</w:t>
      </w:r>
    </w:p>
    <w:p>
      <w:pPr>
        <w:spacing w:after="0" w:line="95" w:lineRule="exact"/>
        <w:rPr>
          <w:rFonts w:ascii="Arial" w:cs="Arial" w:eastAsia="Arial" w:hAnsi="Arial"/>
          <w:sz w:val="18"/>
          <w:szCs w:val="18"/>
          <w:color w:val="auto"/>
        </w:rPr>
      </w:pPr>
    </w:p>
    <w:p>
      <w:pPr>
        <w:ind w:left="700" w:hanging="28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MS patients;</w:t>
      </w:r>
    </w:p>
    <w:p>
      <w:pPr>
        <w:spacing w:after="0" w:line="117" w:lineRule="exact"/>
        <w:rPr>
          <w:rFonts w:ascii="Arial" w:cs="Arial" w:eastAsia="Arial" w:hAnsi="Arial"/>
          <w:sz w:val="18"/>
          <w:szCs w:val="18"/>
          <w:color w:val="auto"/>
        </w:rPr>
      </w:pPr>
    </w:p>
    <w:p>
      <w:pPr>
        <w:ind w:left="740" w:right="200" w:hanging="327"/>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attract and maintain new and current patients to our therapies;</w:t>
      </w:r>
    </w:p>
    <w:p>
      <w:pPr>
        <w:spacing w:after="0" w:line="89" w:lineRule="exact"/>
        <w:rPr>
          <w:rFonts w:ascii="Arial" w:cs="Arial" w:eastAsia="Arial" w:hAnsi="Arial"/>
          <w:sz w:val="18"/>
          <w:szCs w:val="18"/>
          <w:color w:val="auto"/>
        </w:rPr>
      </w:pPr>
    </w:p>
    <w:p>
      <w:pPr>
        <w:ind w:left="740" w:right="520" w:hanging="327"/>
        <w:spacing w:after="0" w:line="278"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MS products, generic or biosimilars of our MS products or any other product from the same class as one of our products, or to our sales and reputation as a result of label changes or adverse experiences or events that may occur with patients treated with our MS products or generic or biosimilars of our MS products;</w:t>
      </w:r>
    </w:p>
    <w:p>
      <w:pPr>
        <w:spacing w:after="0" w:line="76" w:lineRule="exact"/>
        <w:rPr>
          <w:rFonts w:ascii="Arial" w:cs="Arial" w:eastAsia="Arial" w:hAnsi="Arial"/>
          <w:sz w:val="17"/>
          <w:szCs w:val="17"/>
          <w:color w:val="auto"/>
        </w:rPr>
      </w:pPr>
    </w:p>
    <w:p>
      <w:pPr>
        <w:ind w:left="740" w:right="520" w:hanging="327"/>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obtain appropriate pricing and reimbursement for our MS products compared to our competitors in key international markets; or</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MS products.</w:t>
      </w:r>
    </w:p>
    <w:p>
      <w:pPr>
        <w:spacing w:after="0" w:line="171" w:lineRule="exact"/>
        <w:rPr>
          <w:sz w:val="20"/>
          <w:szCs w:val="20"/>
          <w:color w:val="auto"/>
        </w:rPr>
      </w:pPr>
    </w:p>
    <w:p>
      <w:pPr>
        <w:ind w:left="80" w:right="40" w:firstLine="324"/>
        <w:spacing w:after="0" w:line="253" w:lineRule="auto"/>
        <w:rPr>
          <w:sz w:val="20"/>
          <w:szCs w:val="20"/>
          <w:color w:val="auto"/>
        </w:rPr>
      </w:pPr>
      <w:r>
        <w:rPr>
          <w:rFonts w:ascii="Arial" w:cs="Arial" w:eastAsia="Arial" w:hAnsi="Arial"/>
          <w:sz w:val="18"/>
          <w:szCs w:val="18"/>
          <w:color w:val="auto"/>
        </w:rPr>
        <w:t>In the SMA market, we face competition from a gene therapy product that was approved the U.S. and the E.U. and a new oral product that was approved in the U.S. and has been accepted for review in the E.U. We expect that we will experience competition from both products in additional jurisdictions in the future. Additionally, we are aware of other products now in development that, if launched, may compete with SPINRAZA. Future sales of SPINRAZA may be adversely affected by the commercialization of competing products as well as the delay of SPINRAZA doses due, directly or indirectly, to the COVID-19 pandemic.</w:t>
      </w:r>
    </w:p>
    <w:p>
      <w:pPr>
        <w:spacing w:after="0" w:line="129" w:lineRule="exact"/>
        <w:rPr>
          <w:sz w:val="20"/>
          <w:szCs w:val="20"/>
          <w:color w:val="auto"/>
        </w:rPr>
      </w:pPr>
    </w:p>
    <w:p>
      <w:pPr>
        <w:ind w:left="80" w:right="220" w:firstLine="324"/>
        <w:spacing w:after="0" w:line="287"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67" w:lineRule="exact"/>
        <w:rPr>
          <w:sz w:val="20"/>
          <w:szCs w:val="20"/>
          <w:color w:val="auto"/>
        </w:rPr>
      </w:pPr>
    </w:p>
    <w:p>
      <w:pPr>
        <w:ind w:left="80" w:right="120" w:firstLine="324"/>
        <w:spacing w:after="0" w:line="256"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 technologies and companies or the entry into strategic alliances and collaborations.</w:t>
      </w:r>
    </w:p>
    <w:p>
      <w:pPr>
        <w:spacing w:after="0" w:line="94" w:lineRule="exact"/>
        <w:rPr>
          <w:sz w:val="20"/>
          <w:szCs w:val="20"/>
          <w:color w:val="auto"/>
        </w:rPr>
      </w:pPr>
    </w:p>
    <w:p>
      <w:pPr>
        <w:jc w:val="both"/>
        <w:ind w:right="40" w:firstLine="401"/>
        <w:spacing w:after="0" w:line="256"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firstLine="401"/>
        <w:spacing w:after="0" w:line="253"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in the past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97" w:lineRule="exact"/>
        <w:rPr>
          <w:sz w:val="20"/>
          <w:szCs w:val="20"/>
          <w:color w:val="auto"/>
        </w:rPr>
      </w:pPr>
    </w:p>
    <w:p>
      <w:pPr>
        <w:ind w:right="420" w:firstLine="401"/>
        <w:spacing w:after="0" w:line="256"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spacing w:after="0" w:line="94" w:lineRule="exact"/>
        <w:rPr>
          <w:sz w:val="20"/>
          <w:szCs w:val="20"/>
          <w:color w:val="auto"/>
        </w:rPr>
      </w:pPr>
    </w:p>
    <w:p>
      <w:pPr>
        <w:ind w:right="480" w:firstLine="401"/>
        <w:spacing w:after="0" w:line="256" w:lineRule="auto"/>
        <w:rPr>
          <w:sz w:val="20"/>
          <w:szCs w:val="20"/>
          <w:color w:val="auto"/>
        </w:rPr>
      </w:pPr>
      <w:r>
        <w:rPr>
          <w:rFonts w:ascii="Arial" w:cs="Arial" w:eastAsia="Arial" w:hAnsi="Arial"/>
          <w:sz w:val="18"/>
          <w:szCs w:val="18"/>
          <w:color w:val="auto"/>
        </w:rPr>
        <w:t>We may fail to initiate or complete transactions for many reasons and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94"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spacing w:after="0" w:line="127" w:lineRule="exact"/>
        <w:rPr>
          <w:sz w:val="20"/>
          <w:szCs w:val="20"/>
          <w:color w:val="auto"/>
        </w:rPr>
      </w:pPr>
    </w:p>
    <w:p>
      <w:pPr>
        <w:ind w:right="60" w:firstLine="243"/>
        <w:spacing w:after="0" w:line="247"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revenues and results of operations.</w:t>
      </w:r>
    </w:p>
    <w:p>
      <w:pPr>
        <w:spacing w:after="0" w:line="88" w:lineRule="exact"/>
        <w:rPr>
          <w:sz w:val="20"/>
          <w:szCs w:val="20"/>
          <w:color w:val="auto"/>
        </w:rPr>
      </w:pPr>
    </w:p>
    <w:p>
      <w:pPr>
        <w:jc w:val="both"/>
        <w:ind w:right="80" w:firstLine="401"/>
        <w:spacing w:after="0" w:line="256"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may be uncertain, as is the pricing and amount for which that product will be reimbursed.</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740" w:right="38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740" w:right="160" w:hanging="327"/>
        <w:spacing w:after="0" w:line="256"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 and</w:t>
      </w:r>
    </w:p>
    <w:p>
      <w:pPr>
        <w:spacing w:after="0" w:line="93" w:lineRule="exact"/>
        <w:rPr>
          <w:rFonts w:ascii="Arial" w:cs="Arial" w:eastAsia="Arial" w:hAnsi="Arial"/>
          <w:sz w:val="18"/>
          <w:szCs w:val="18"/>
          <w:color w:val="auto"/>
        </w:rPr>
      </w:pPr>
    </w:p>
    <w:p>
      <w:pPr>
        <w:ind w:left="740" w:right="460" w:hanging="327"/>
        <w:spacing w:after="0" w:line="256"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94"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Certain countries set prices by reference to the prices in other countries where our products are marketed. Our inability to obtain and maintain adequate prices in a particular country may not only limit the revenues from our products within that country but may also adversely affect our ability to secure acceptable prices in existing and potential new markets, which may limit market growth. This may create the opportunity for third-party cross-border trade or influence our decision to sell or not to sell a product, thus adversely affecting our geographic expansion plans and revenues.</w:t>
      </w:r>
    </w:p>
    <w:p>
      <w:pPr>
        <w:spacing w:after="0" w:line="10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Drug prices are under significant scrutiny in the markets in which our products are prescribed. We expect drug pricing and other health care costs to continue to be subject to intense political and societal pressures on a global basis. Competition from current and future competitors may negatively impact our ability to maintain pricing and our market share. New products marketed by our competitors could cause our revenues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10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97" w:lineRule="exact"/>
        <w:rPr>
          <w:sz w:val="20"/>
          <w:szCs w:val="20"/>
          <w:color w:val="auto"/>
        </w:rPr>
      </w:pPr>
    </w:p>
    <w:p>
      <w:pPr>
        <w:ind w:right="380" w:firstLine="405"/>
        <w:spacing w:after="0" w:line="246"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revenues and results of operations.</w:t>
      </w:r>
    </w:p>
    <w:p>
      <w:pPr>
        <w:spacing w:after="0" w:line="121"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b w:val="1"/>
          <w:bCs w:val="1"/>
          <w:i w:val="1"/>
          <w:iCs w:val="1"/>
          <w:color w:val="2573BA"/>
        </w:rPr>
        <w:t>We depend on relationships with collaborators, joint venture partners and other third parties for revenues, and for the development, regulatory approval, commercialization and marketing of certain of our products and product candidates, which are outside of our full control.</w:t>
      </w:r>
    </w:p>
    <w:p>
      <w:pPr>
        <w:spacing w:after="0" w:line="8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We rely on a number of significant collaborative, joint venture and other third-party relationships for revenues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spacing w:after="0" w:line="96" w:lineRule="exact"/>
        <w:rPr>
          <w:sz w:val="20"/>
          <w:szCs w:val="20"/>
          <w:color w:val="auto"/>
        </w:rPr>
      </w:pPr>
    </w:p>
    <w:p>
      <w:pPr>
        <w:ind w:left="740" w:right="6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joint venture partners or third parties devote to our programs, products or product candidates;</w:t>
      </w:r>
    </w:p>
    <w:p>
      <w:pPr>
        <w:spacing w:after="0" w:line="89" w:lineRule="exact"/>
        <w:rPr>
          <w:rFonts w:ascii="Arial" w:cs="Arial" w:eastAsia="Arial" w:hAnsi="Arial"/>
          <w:sz w:val="18"/>
          <w:szCs w:val="18"/>
          <w:color w:val="auto"/>
        </w:rPr>
      </w:pPr>
    </w:p>
    <w:p>
      <w:pPr>
        <w:jc w:val="both"/>
        <w:ind w:left="740" w:hanging="327"/>
        <w:spacing w:after="0" w:line="256"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or ownership of rights to technology developed, and the underlying agreement may fail to provide us with significant protection or may fail to be effectively enforced if the collaborators, joint ventures partners or third parties fail to perform;</w:t>
      </w:r>
    </w:p>
    <w:p>
      <w:pPr>
        <w:spacing w:after="0" w:line="93" w:lineRule="exact"/>
        <w:rPr>
          <w:rFonts w:ascii="Arial" w:cs="Arial" w:eastAsia="Arial" w:hAnsi="Arial"/>
          <w:sz w:val="18"/>
          <w:szCs w:val="18"/>
          <w:color w:val="auto"/>
        </w:rPr>
      </w:pPr>
    </w:p>
    <w:p>
      <w:pPr>
        <w:ind w:left="740" w:right="280" w:hanging="327"/>
        <w:spacing w:after="0" w:line="254"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interests of our collaborators, joint venture partners or third parties may not always be aligned with our interests, and such parties may not pursue regulatory approvals or market a product in the same manner or to the same extent that we would, which could adversely affect our revenues, or may adopt tax strategies that could have an adverse effect on our business, results of operations or financial condition;</w:t>
      </w:r>
    </w:p>
    <w:p>
      <w:pPr>
        <w:spacing w:after="0" w:line="95" w:lineRule="exact"/>
        <w:rPr>
          <w:rFonts w:ascii="Arial" w:cs="Arial" w:eastAsia="Arial" w:hAnsi="Arial"/>
          <w:sz w:val="18"/>
          <w:szCs w:val="18"/>
          <w:color w:val="auto"/>
        </w:rPr>
      </w:pPr>
    </w:p>
    <w:p>
      <w:pPr>
        <w:jc w:val="both"/>
        <w:ind w:left="740" w:right="220" w:hanging="327"/>
        <w:spacing w:after="0" w:line="256"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93" w:lineRule="exact"/>
        <w:rPr>
          <w:rFonts w:ascii="Arial" w:cs="Arial" w:eastAsia="Arial" w:hAnsi="Arial"/>
          <w:sz w:val="18"/>
          <w:szCs w:val="18"/>
          <w:color w:val="auto"/>
        </w:rPr>
      </w:pPr>
    </w:p>
    <w:p>
      <w:pPr>
        <w:ind w:left="740" w:right="100" w:hanging="327"/>
        <w:spacing w:after="0" w:line="254"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failure on the part of our collaborators, joint venture partners or other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revenues as well as involve us in possible legal proceedings; and</w:t>
      </w:r>
    </w:p>
    <w:p>
      <w:pPr>
        <w:spacing w:after="0" w:line="95" w:lineRule="exact"/>
        <w:rPr>
          <w:rFonts w:ascii="Arial" w:cs="Arial" w:eastAsia="Arial" w:hAnsi="Arial"/>
          <w:sz w:val="18"/>
          <w:szCs w:val="18"/>
          <w:color w:val="auto"/>
        </w:rPr>
      </w:pPr>
    </w:p>
    <w:p>
      <w:pPr>
        <w:ind w:left="740" w:right="120" w:hanging="327"/>
        <w:spacing w:after="0" w:line="256"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joint venture partners or other third parties could subject us to civil or criminal investigations and monetary and injunctive penalties, impact the accuracy and timing of our financial reporting and/or adversely impact our ability to conduct business, our operating results and our reputation.</w:t>
      </w:r>
    </w:p>
    <w:p>
      <w:pPr>
        <w:spacing w:after="0" w:line="94"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revenues from products could decline and/or we may not realize the anticipated benefits of these arrangements.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and the expansion of the number of hospitals eligible for discounts under Section 340B of the PHSA. These changes have had and are expected to continue to have a significant impact on our business.</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96"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There is increasing public attention on the costs of prescription drugs and there have been,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97" w:lineRule="exact"/>
        <w:rPr>
          <w:sz w:val="20"/>
          <w:szCs w:val="20"/>
          <w:color w:val="auto"/>
        </w:rPr>
      </w:pPr>
    </w:p>
    <w:p>
      <w:pPr>
        <w:ind w:right="20" w:firstLine="405"/>
        <w:spacing w:after="0" w:line="236"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revenues and may continue to adversely affect our revenues and results of operations in the future.</w:t>
      </w:r>
    </w:p>
    <w:p>
      <w:pPr>
        <w:spacing w:after="0" w:line="132"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b w:val="1"/>
          <w:bCs w:val="1"/>
          <w:i w:val="1"/>
          <w:iCs w:val="1"/>
          <w:color w:val="2573BA"/>
        </w:rPr>
        <w:t>Our success in commercializing biosimilars developed by Samsung Bioepis is subject to risks and uncertainties inherent in the development, manufacture and commercialization of biosimilars. If Samsung Bioepis is unsuccessful in such activities, we may not realize the anticipated benefits of our investment in Samsung Bioepis.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in commercializing biosimilars developed by Samsung Bioepis is subject to a number of risks, including:</w:t>
      </w:r>
    </w:p>
    <w:p>
      <w:pPr>
        <w:spacing w:after="0" w:line="99" w:lineRule="exact"/>
        <w:rPr>
          <w:sz w:val="20"/>
          <w:szCs w:val="20"/>
          <w:color w:val="auto"/>
        </w:rPr>
      </w:pPr>
    </w:p>
    <w:p>
      <w:pPr>
        <w:ind w:left="740" w:hanging="327"/>
        <w:spacing w:after="0" w:line="26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 Parties. </w:t>
      </w:r>
      <w:r>
        <w:rPr>
          <w:rFonts w:ascii="Arial" w:cs="Arial" w:eastAsia="Arial" w:hAnsi="Arial"/>
          <w:sz w:val="18"/>
          <w:szCs w:val="18"/>
          <w:color w:val="auto"/>
        </w:rPr>
        <w:t>We are dependent on the efforts of Samsung Bioepis and other third parties over whom we have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or no control in the development and manufacturing of biosimilars products. If Samsung Bioepis or other third parties fail to perform successfully, we may not realize the anticipated benefits of our investment in Samsung Bioepis;</w:t>
      </w:r>
    </w:p>
    <w:p>
      <w:pPr>
        <w:spacing w:after="0" w:line="67" w:lineRule="exact"/>
        <w:rPr>
          <w:rFonts w:ascii="Arial" w:cs="Arial" w:eastAsia="Arial" w:hAnsi="Arial"/>
          <w:sz w:val="18"/>
          <w:szCs w:val="18"/>
          <w:color w:val="auto"/>
        </w:rPr>
      </w:pPr>
    </w:p>
    <w:p>
      <w:pPr>
        <w:ind w:left="740" w:hanging="327"/>
        <w:spacing w:after="0" w:line="282"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53" w:lineRule="exact"/>
        <w:rPr>
          <w:rFonts w:ascii="Arial" w:cs="Arial" w:eastAsia="Arial" w:hAnsi="Arial"/>
          <w:sz w:val="18"/>
          <w:szCs w:val="18"/>
          <w:color w:val="auto"/>
        </w:rPr>
      </w:pPr>
    </w:p>
    <w:p>
      <w:pPr>
        <w:ind w:left="740" w:hanging="327"/>
        <w:spacing w:after="0" w:line="26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patent clearances,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w:t>
      </w:r>
    </w:p>
    <w:p>
      <w:pPr>
        <w:spacing w:after="0" w:line="67" w:lineRule="exact"/>
        <w:rPr>
          <w:rFonts w:ascii="Arial" w:cs="Arial" w:eastAsia="Arial" w:hAnsi="Arial"/>
          <w:sz w:val="18"/>
          <w:szCs w:val="18"/>
          <w:color w:val="auto"/>
        </w:rPr>
      </w:pPr>
    </w:p>
    <w:p>
      <w:pPr>
        <w:ind w:left="740" w:right="240" w:hanging="327"/>
        <w:spacing w:after="0" w:line="266"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and/or payors do not accept biosimilar products as safe and efficacious products offering a more competitive price or other benefit over existing therapies;</w:t>
      </w:r>
    </w:p>
    <w:p>
      <w:pPr>
        <w:spacing w:after="0" w:line="67" w:lineRule="exact"/>
        <w:rPr>
          <w:rFonts w:ascii="Arial" w:cs="Arial" w:eastAsia="Arial" w:hAnsi="Arial"/>
          <w:sz w:val="18"/>
          <w:szCs w:val="18"/>
          <w:color w:val="auto"/>
        </w:rPr>
      </w:pPr>
    </w:p>
    <w:p>
      <w:pPr>
        <w:ind w:left="740" w:right="60" w:hanging="327"/>
        <w:spacing w:after="0" w:line="261"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we may be unable to meet higher than anticipated demand. We are dependent on a third-party for the manufacture of biosimilar products and such third-party may not perform its obligations in a timely and cost-effective manner or in compliance with applicable regulations and may be</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unable or unwilling to increase production capacity commensurate with demand for our existing or future biosimilar products;</w:t>
      </w:r>
    </w:p>
    <w:p>
      <w:pPr>
        <w:spacing w:after="0" w:line="99" w:lineRule="exact"/>
        <w:rPr>
          <w:sz w:val="20"/>
          <w:szCs w:val="20"/>
          <w:color w:val="auto"/>
        </w:rPr>
      </w:pPr>
    </w:p>
    <w:p>
      <w:pPr>
        <w:ind w:left="740" w:right="160" w:hanging="327"/>
        <w:spacing w:after="0" w:line="258"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and/or the success of Samsung Bioepis in this business area; and</w:t>
      </w:r>
    </w:p>
    <w:p>
      <w:pPr>
        <w:spacing w:after="0" w:line="75" w:lineRule="exact"/>
        <w:rPr>
          <w:rFonts w:ascii="Arial" w:cs="Arial" w:eastAsia="Arial" w:hAnsi="Arial"/>
          <w:sz w:val="18"/>
          <w:szCs w:val="18"/>
          <w:color w:val="auto"/>
        </w:rPr>
      </w:pPr>
    </w:p>
    <w:p>
      <w:pPr>
        <w:ind w:left="740" w:right="100" w:hanging="327"/>
        <w:spacing w:after="0" w:line="258"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Legal and Regulatory Requirements. </w:t>
      </w:r>
      <w:r>
        <w:rPr>
          <w:rFonts w:ascii="Arial" w:cs="Arial" w:eastAsia="Arial" w:hAnsi="Arial"/>
          <w:sz w:val="18"/>
          <w:szCs w:val="18"/>
          <w:color w:val="auto"/>
        </w:rPr>
        <w:t>Any improper conduct or actions on the part of Samsung Bioepis or our joint venture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Samsung BioLogics, could damage our reputation and be distracting to management. The former chief executive officer (the incumbent chairman of the board) and the chief financial officer of our joint venture partner, Samsung BioLogics, are currently subject to ongoing criminal proceedings that may impact its operations and business or divert the attention of the Samsung Bioepis management team from its ongoing operations.</w:t>
      </w:r>
    </w:p>
    <w:p>
      <w:pPr>
        <w:spacing w:after="0" w:line="80"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If Samsung Bioepis is unsuccessful in the development, manufacture and commercialization of biosimilar products, we may not realize the anticipated benefits of our investment in Samsung Bioepis.</w:t>
      </w:r>
    </w:p>
    <w:p>
      <w:pPr>
        <w:spacing w:after="0" w:line="63"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In addition, as Samsung Bioepis is a privately-held entity, our ability to liquidate our investment in Samsung Bioepis may be limited and we may realize significantly less than the value of such investment.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44"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53" w:lineRule="exact"/>
        <w:rPr>
          <w:sz w:val="20"/>
          <w:szCs w:val="20"/>
          <w:color w:val="auto"/>
        </w:rPr>
      </w:pPr>
    </w:p>
    <w:p>
      <w:pPr>
        <w:ind w:right="260" w:firstLine="405"/>
        <w:spacing w:after="0" w:line="251"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and risk evaluation and mitigation strategies. The occurrence of any of these events could result in significant costs and expenses, have an adverse effect on our business, financial condition and results of operations and/or cause our stock price to decline or experience periods of volatility.</w:t>
      </w:r>
    </w:p>
    <w:p>
      <w:pPr>
        <w:spacing w:after="0" w:line="13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6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cGCP. If we or our third-party clinical trial providers or third-party CROs do not successfully carry out these clinical activities, our clinical trials or the potential regulatory approval of a product candidate may be delayed or denied.</w:t>
      </w:r>
    </w:p>
    <w:p>
      <w:pPr>
        <w:spacing w:after="0" w:line="96"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We may need to replace our CROs, which may result in the delay of the affected trials or otherwise adversely affect our efforts to obtain regulatory approvals and commercialize our product candidates.</w:t>
      </w:r>
    </w:p>
    <w:p>
      <w:pPr>
        <w:spacing w:after="0" w:line="13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67"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94" w:lineRule="exact"/>
        <w:rPr>
          <w:sz w:val="20"/>
          <w:szCs w:val="20"/>
          <w:color w:val="auto"/>
        </w:rPr>
      </w:pPr>
    </w:p>
    <w:p>
      <w:pPr>
        <w:ind w:right="260" w:firstLine="401"/>
        <w:spacing w:after="0" w:line="254"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96" w:lineRule="exact"/>
        <w:rPr>
          <w:sz w:val="20"/>
          <w:szCs w:val="20"/>
          <w:color w:val="auto"/>
        </w:rPr>
      </w:pPr>
    </w:p>
    <w:p>
      <w:pPr>
        <w:ind w:firstLine="401"/>
        <w:spacing w:after="0" w:line="256" w:lineRule="auto"/>
        <w:rPr>
          <w:sz w:val="20"/>
          <w:szCs w:val="20"/>
          <w:color w:val="auto"/>
        </w:rPr>
      </w:pPr>
      <w:r>
        <w:rPr>
          <w:rFonts w:ascii="Arial" w:cs="Arial" w:eastAsia="Arial" w:hAnsi="Arial"/>
          <w:sz w:val="18"/>
          <w:szCs w:val="18"/>
          <w:color w:val="auto"/>
        </w:rPr>
        <w:t>Restrictions on use or significant safety warnings that may be required to be included in the label of our products, such as the risk of developing PML in the label for certain of our products, may significantly reduce expected revenues for those products and require significant expense and management time.</w:t>
      </w:r>
    </w:p>
    <w:p>
      <w:pPr>
        <w:spacing w:after="0" w:line="126" w:lineRule="exact"/>
        <w:rPr>
          <w:sz w:val="20"/>
          <w:szCs w:val="20"/>
          <w:color w:val="auto"/>
        </w:rPr>
      </w:pPr>
    </w:p>
    <w:p>
      <w:pPr>
        <w:ind w:right="120" w:firstLine="401"/>
        <w:spacing w:after="0" w:line="287" w:lineRule="auto"/>
        <w:rPr>
          <w:sz w:val="20"/>
          <w:szCs w:val="20"/>
          <w:color w:val="auto"/>
        </w:rPr>
      </w:pPr>
      <w:r>
        <w:rPr>
          <w:rFonts w:ascii="Arial" w:cs="Arial" w:eastAsia="Arial" w:hAnsi="Arial"/>
          <w:sz w:val="18"/>
          <w:szCs w:val="18"/>
          <w:b w:val="1"/>
          <w:bCs w:val="1"/>
          <w:i w:val="1"/>
          <w:iCs w:val="1"/>
          <w:color w:val="2573BA"/>
        </w:rPr>
        <w:t>The illegal distribution and sale by third parties of counterfeit or unfit versions of our products or stolen products could have a negative impact on our reputation and business.</w:t>
      </w:r>
    </w:p>
    <w:p>
      <w:pPr>
        <w:spacing w:after="0" w:line="67" w:lineRule="exact"/>
        <w:rPr>
          <w:sz w:val="20"/>
          <w:szCs w:val="20"/>
          <w:color w:val="auto"/>
        </w:rPr>
      </w:pPr>
    </w:p>
    <w:p>
      <w:pPr>
        <w:ind w:right="40" w:firstLine="401"/>
        <w:spacing w:after="0" w:line="253" w:lineRule="auto"/>
        <w:rPr>
          <w:sz w:val="20"/>
          <w:szCs w:val="20"/>
          <w:color w:val="auto"/>
        </w:rPr>
      </w:pPr>
      <w:r>
        <w:rPr>
          <w:rFonts w:ascii="Arial" w:cs="Arial" w:eastAsia="Arial" w:hAnsi="Arial"/>
          <w:sz w:val="18"/>
          <w:szCs w:val="18"/>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139" w:lineRule="exact"/>
        <w:rPr>
          <w:sz w:val="20"/>
          <w:szCs w:val="20"/>
          <w:color w:val="auto"/>
        </w:rPr>
      </w:pPr>
    </w:p>
    <w:p>
      <w:pPr>
        <w:ind w:firstLine="401"/>
        <w:spacing w:after="0" w:line="251"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44" w:lineRule="exact"/>
        <w:rPr>
          <w:sz w:val="20"/>
          <w:szCs w:val="20"/>
          <w:color w:val="auto"/>
        </w:rPr>
      </w:pPr>
    </w:p>
    <w:p>
      <w:pPr>
        <w:ind w:right="200" w:firstLine="243"/>
        <w:spacing w:after="0" w:line="287"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5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patent and other protections, resulting in a reduction in revenue from affected products.</w:t>
      </w:r>
    </w:p>
    <w:p>
      <w:pPr>
        <w:spacing w:after="0" w:line="151" w:lineRule="exact"/>
        <w:rPr>
          <w:sz w:val="20"/>
          <w:szCs w:val="20"/>
          <w:color w:val="auto"/>
        </w:rPr>
      </w:pPr>
    </w:p>
    <w:p>
      <w:pPr>
        <w:ind w:right="320" w:firstLine="405"/>
        <w:spacing w:after="0" w:line="253"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revenues may be reduced in a short period of time. In addition, manufacturers of generics and biosimilars may choose to launch or attempt to launch their products before the expiration of our patent or other intellectual property protections.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 be pertinent to the manufacture, use or sale of our products. Such proceedings are unpredictable and are often protracted and expensive. Negative outcomes of such proceedings could hinder or prevent us from manufacturing and marketing our products, could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would reduce our profits from the covered products and services. Any of these circumstances could result in financial, business or reputational harm to us or could cause a decline or volatility in our stock price.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71" w:lineRule="exact"/>
        <w:rPr>
          <w:sz w:val="20"/>
          <w:szCs w:val="20"/>
          <w:color w:val="auto"/>
        </w:rPr>
      </w:pPr>
    </w:p>
    <w:p>
      <w:pPr>
        <w:ind w:right="260" w:firstLine="243"/>
        <w:spacing w:after="0" w:line="287" w:lineRule="auto"/>
        <w:rPr>
          <w:sz w:val="20"/>
          <w:szCs w:val="20"/>
          <w:color w:val="auto"/>
        </w:rPr>
      </w:pPr>
      <w:r>
        <w:rPr>
          <w:rFonts w:ascii="Arial" w:cs="Arial" w:eastAsia="Arial" w:hAnsi="Arial"/>
          <w:sz w:val="18"/>
          <w:szCs w:val="18"/>
          <w:b w:val="1"/>
          <w:bCs w:val="1"/>
          <w:i w:val="1"/>
          <w:iCs w:val="1"/>
          <w:color w:val="2573BA"/>
        </w:rPr>
        <w:t>The ongoing COVID-19 pandemic may, directly or indirectly, adversely affect our business, results of operations and financial condition.</w:t>
      </w:r>
    </w:p>
    <w:p>
      <w:pPr>
        <w:spacing w:after="0" w:line="5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business could be materially adversely affected, directly or indirectly, by the ongoing COVID-19 pandemic. National, state and local governments in affected regions have implemented and may continue to implement safety precautions, including quarantines, border closures, increased border controls, travel restrictions, shelter in place orders and shutdowns, business closures and other measures. These measures may disrupt normal business operations both in and outside of affected areas and may have significant negative impacts on businesses and financial markets worldwide.</w:t>
      </w:r>
    </w:p>
    <w:p>
      <w:pPr>
        <w:spacing w:after="0" w:line="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we have made modifications to our normal operations because of the COVID-19 pandemic, including limiting travel and working from home. We have also suspended the vast majority of our in-person interactions by our customer-facing professionals in healthcare settings. This limits our ability to market our products and educate physicians, which, in turn, could have an adverse effect on our ability to compete in the marketing and sales of our products.</w:t>
      </w:r>
    </w:p>
    <w:p>
      <w:pPr>
        <w:spacing w:after="0" w:line="69"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8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COVID-19 pandemic could affect the health and availability of our workforce as well as those of the third parties we rely on. If members of our management and other key personnel in critical functions across our organization are unable to perform their duties or have limited availability due to the COVID-19 pandemic, we may not be able to execute on our business strategy and/or our operations may be negatively impacted. Furthermore, delays and disruptions experienced by our collaborators, joint venture partners or other third parties due to the COVID-19 pandemic could adversely impact the ability of such parties to fulfill their obligations, which could affect product sales or the clinical development or regulatory approvals of product candidates under joint control.</w:t>
      </w:r>
    </w:p>
    <w:p>
      <w:pPr>
        <w:spacing w:after="0" w:line="100" w:lineRule="exact"/>
        <w:rPr>
          <w:sz w:val="20"/>
          <w:szCs w:val="20"/>
          <w:color w:val="auto"/>
        </w:rPr>
      </w:pPr>
    </w:p>
    <w:p>
      <w:pPr>
        <w:ind w:right="20" w:firstLine="405"/>
        <w:spacing w:after="0" w:line="236" w:lineRule="auto"/>
        <w:rPr>
          <w:sz w:val="20"/>
          <w:szCs w:val="20"/>
          <w:color w:val="auto"/>
        </w:rPr>
      </w:pPr>
      <w:r>
        <w:rPr>
          <w:rFonts w:ascii="Arial" w:cs="Arial" w:eastAsia="Arial" w:hAnsi="Arial"/>
          <w:sz w:val="18"/>
          <w:szCs w:val="18"/>
          <w:color w:val="auto"/>
        </w:rPr>
        <w:t>Our ability to continue our existing clinical trials or to initiate new clinical trials may be adversely affected, directly or indirectly, by the COVID-19 pandemic. For example, our Phase 3 study of BIIB093 for LHI has been delayed as this study involves administration of BIIB093 in an acute hospital setting. Restrictions on travel and/or transport of clinical materials as well as diversion of hospital staff and resources to COVID-19 infected patients could disrupt trial operations and recruitment, possibly resulting in a slowdown in enrollment and/or deviations from or disruptions in key clinical trial activities, such as clinical trial site monitoring. These challenges may lead to difficulties in meeting protocol-specified procedures. We may need to make certain adjustments to the operation of clinical trials in an effort to minimize risks to trial data integrity during the COVID-19 pandemic. In addition, the impact of the COVID-19 pandemic on the operations of the FDA and other health authorities may delay potential approvals of our product candidates.</w:t>
      </w:r>
    </w:p>
    <w:p>
      <w:pPr>
        <w:spacing w:after="0" w:line="10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in the U.S. in March 2020 and is aimed at providing emergency assistance and health care for individuals, families and businesses and generally supporting the U.S. economy. We expect that additional state and federal healthcare reform measures may be adopted in the future, any of which could limit the amounts that federal and state governments will pay for healthcare products and services, which could result in reduced demand for our products or additional pricing pressures. The COVID-19 pandemic may introduce temporary or permanent healthcare reform measures for which we cannot predict the financial implication of on our business.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While it is not possible at this time to estimate the entirety of the impact that the COVID-19 pandemic will have on our business, operations, employees, customers, suppliers or collaboration partners, continued spread of COVID-19, measures taken by governments, actions taken to protect employees and the broad impact of the pandemic on all business activities may materially and adversely affect our business, results of operations and financial condition.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 breakdown or breach of our technology systems could subject us to liability or interrupt the operation of our business.</w:t>
      </w:r>
    </w:p>
    <w:p>
      <w:pPr>
        <w:spacing w:after="0" w:line="11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are increasingly dependent upon technology systems and data to operate our business. Further, the COVID-19 pandemic has caused us to modify our business practices, including the requirement that most of our office-based employees in the U.S. and our other key markets work from home.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A breakdown, invasion, corruption, destruction or breach of our technology systems, including our cloud technologies, and/or unauthorized access to our data and information could subject us to liability or negatively impact the operation of our business. Our technology systems, including our cloud technologies, continue to increase in multitude and complexity, making them potentially vulnerable to breakdown, malicious intrusion and random attack. Data privacy or security breaches also pose a risk that sensitive data, including intellectual property, trade secrets or personal information belonging to us, our patients, customers or other business partners, may be exposed to unauthorized persons or to the public.</w:t>
      </w:r>
    </w:p>
    <w:p>
      <w:pPr>
        <w:spacing w:after="0" w:line="8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Cyber-attacks could also include supply chain attacks, which could cause a delay in the manufacturing of our products or products produced for contract manufacturing. Our key business partners face similar risks and any security breach of their systems could adversely affect our security posture. In addition, our increased use of cloud technologies could heighten these and other operational risks, and any failure by cloud technology service providers to adequately safeguard their systems and prevent cyber-attacks could disrupt our operations and result in misappropriation, corruption or loss of confidential or propriety information.</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151"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GDPR established regulations regarding the handling of personal data, and provides an enforcement authority and imposes large penalties for noncompliance. New U.S. data privacy and security laws, such as the California Consumer Privacy Act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136" w:lineRule="exact"/>
        <w:rPr>
          <w:sz w:val="20"/>
          <w:szCs w:val="20"/>
          <w:color w:val="auto"/>
        </w:rPr>
      </w:pPr>
    </w:p>
    <w:p>
      <w:pPr>
        <w:jc w:val="both"/>
        <w:ind w:right="420" w:firstLine="243"/>
        <w:spacing w:after="0" w:line="268" w:lineRule="auto"/>
        <w:rPr>
          <w:sz w:val="20"/>
          <w:szCs w:val="20"/>
          <w:color w:val="auto"/>
        </w:rPr>
      </w:pPr>
      <w:r>
        <w:rPr>
          <w:rFonts w:ascii="Arial" w:cs="Arial" w:eastAsia="Arial" w:hAnsi="Arial"/>
          <w:sz w:val="18"/>
          <w:szCs w:val="18"/>
          <w:b w:val="1"/>
          <w:bCs w:val="1"/>
          <w:i w:val="1"/>
          <w:iCs w:val="1"/>
          <w:color w:val="2573BA"/>
        </w:rPr>
        <w:t>Management and key personnel changes may disrupt our operations, and we may have difficulty retaining key personnel or attracting and retaining qualified replacements on a timely basis for management and other key personnel who may leave the Company.</w:t>
      </w:r>
    </w:p>
    <w:p>
      <w:pPr>
        <w:spacing w:after="0" w:line="85"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Changes in management and other key personnel have the potential to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and retaining key talent for a number of reasons, including management changes, the underperformance or discontinuation of one or more late stage programs or recruitment by competitors. We cannot ensure that we will be able to hire or retain the personnel necessary for our operations or that the loss of any personnel will not have a material impact on our financial condition and results of operations.</w:t>
      </w:r>
    </w:p>
    <w:p>
      <w:pPr>
        <w:spacing w:after="0" w:line="132" w:lineRule="exact"/>
        <w:rPr>
          <w:sz w:val="20"/>
          <w:szCs w:val="20"/>
          <w:color w:val="auto"/>
        </w:rPr>
      </w:pPr>
    </w:p>
    <w:p>
      <w:pPr>
        <w:ind w:right="680" w:firstLine="243"/>
        <w:spacing w:after="0" w:line="287"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5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740" w:right="100" w:hanging="327"/>
        <w:spacing w:after="0" w:line="253"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97" w:lineRule="exact"/>
        <w:rPr>
          <w:rFonts w:ascii="Arial" w:cs="Arial" w:eastAsia="Arial" w:hAnsi="Arial"/>
          <w:sz w:val="18"/>
          <w:szCs w:val="18"/>
          <w:color w:val="auto"/>
        </w:rPr>
      </w:pPr>
    </w:p>
    <w:p>
      <w:pPr>
        <w:ind w:left="740" w:right="8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89" w:lineRule="exact"/>
        <w:rPr>
          <w:rFonts w:ascii="Arial" w:cs="Arial" w:eastAsia="Arial" w:hAnsi="Arial"/>
          <w:sz w:val="18"/>
          <w:szCs w:val="18"/>
          <w:color w:val="auto"/>
        </w:rPr>
      </w:pPr>
    </w:p>
    <w:p>
      <w:pPr>
        <w:ind w:left="740" w:right="18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89" w:lineRule="exact"/>
        <w:rPr>
          <w:rFonts w:ascii="Arial" w:cs="Arial" w:eastAsia="Arial" w:hAnsi="Arial"/>
          <w:sz w:val="18"/>
          <w:szCs w:val="18"/>
          <w:color w:val="auto"/>
        </w:rPr>
      </w:pPr>
    </w:p>
    <w:p>
      <w:pPr>
        <w:ind w:left="740" w:right="40" w:hanging="327"/>
        <w:spacing w:after="0" w:line="254"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95" w:lineRule="exact"/>
        <w:rPr>
          <w:rFonts w:ascii="Arial" w:cs="Arial" w:eastAsia="Arial" w:hAnsi="Arial"/>
          <w:sz w:val="18"/>
          <w:szCs w:val="18"/>
          <w:color w:val="auto"/>
        </w:rPr>
      </w:pPr>
    </w:p>
    <w:p>
      <w:pPr>
        <w:ind w:left="740" w:right="60" w:hanging="327"/>
        <w:spacing w:after="0" w:line="278" w:lineRule="auto"/>
        <w:tabs>
          <w:tab w:leader="none" w:pos="6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3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information we submitted to the government. We cannot ensure that our compliance controls, policies and procedures will protect us from acts committed by our employees, collaborators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2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revenues.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and unfamiliar operations and arrangements previously utilized by companies we collaborate with or acquire in emerging markets.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740" w:right="54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the global economy and the delivery of healthcare treatments;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or pricing approvals of products in a timely manner;</w:t>
      </w:r>
    </w:p>
    <w:p>
      <w:pPr>
        <w:spacing w:after="0" w:line="117" w:lineRule="exact"/>
        <w:rPr>
          <w:rFonts w:ascii="Arial" w:cs="Arial" w:eastAsia="Arial" w:hAnsi="Arial"/>
          <w:sz w:val="18"/>
          <w:szCs w:val="18"/>
          <w:color w:val="auto"/>
        </w:rPr>
      </w:pPr>
    </w:p>
    <w:p>
      <w:pPr>
        <w:ind w:left="740" w:right="22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or receive price increases, including those resulting from governmental or regulatory requirements;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740" w:right="48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revenues, net income and value of certain of our investments;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740" w:right="14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89" w:lineRule="exact"/>
        <w:rPr>
          <w:rFonts w:ascii="Arial" w:cs="Arial" w:eastAsia="Arial" w:hAnsi="Arial"/>
          <w:sz w:val="18"/>
          <w:szCs w:val="18"/>
          <w:color w:val="auto"/>
        </w:rPr>
      </w:pPr>
    </w:p>
    <w:p>
      <w:pPr>
        <w:ind w:left="740" w:right="32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U.K., including the Bribery Act, and elsewhere and escalation of investigations and prosecutions pursuant to such laws;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the U.K.'s departure from the E.U., known as Brexit;</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71"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addition, our international operations are subject to regulation under U.S. law. For example, the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80" w:firstLine="243"/>
        <w:spacing w:after="0" w:line="287" w:lineRule="auto"/>
        <w:rPr>
          <w:sz w:val="20"/>
          <w:szCs w:val="20"/>
          <w:color w:val="auto"/>
        </w:rPr>
      </w:pPr>
      <w:r>
        <w:rPr>
          <w:rFonts w:ascii="Arial" w:cs="Arial" w:eastAsia="Arial" w:hAnsi="Arial"/>
          <w:sz w:val="18"/>
          <w:szCs w:val="18"/>
          <w:b w:val="1"/>
          <w:bCs w:val="1"/>
          <w:i w:val="1"/>
          <w:iCs w:val="1"/>
          <w:color w:val="2573BA"/>
        </w:rPr>
        <w:t>We are building a large-scale biologics manufacturing facility, which will result in the incurrence of significant investment with no assurance that such investment will be recouped.</w:t>
      </w:r>
    </w:p>
    <w:p>
      <w:pPr>
        <w:spacing w:after="0" w:line="5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w:t>
      </w:r>
    </w:p>
    <w:p>
      <w:pPr>
        <w:spacing w:after="0" w:line="67" w:lineRule="exact"/>
        <w:rPr>
          <w:sz w:val="20"/>
          <w:szCs w:val="20"/>
          <w:color w:val="auto"/>
        </w:rPr>
      </w:pPr>
    </w:p>
    <w:p>
      <w:pPr>
        <w:jc w:val="both"/>
        <w:ind w:right="120" w:firstLine="405"/>
        <w:spacing w:after="0" w:line="254" w:lineRule="auto"/>
        <w:rPr>
          <w:sz w:val="20"/>
          <w:szCs w:val="20"/>
          <w:color w:val="auto"/>
        </w:rPr>
      </w:pPr>
      <w:r>
        <w:rPr>
          <w:rFonts w:ascii="Arial" w:cs="Arial" w:eastAsia="Arial" w:hAnsi="Arial"/>
          <w:sz w:val="18"/>
          <w:szCs w:val="18"/>
          <w:color w:val="auto"/>
        </w:rPr>
        <w:t>We expect the Solothurn facility to be partially operational during the first half of 2021; however, there can be no assurance that we will be able to meet our expected timeline or that there will not be any direct or indirect delays resulting from the COVID-19 pandemic. We have had delays, and if there are additional delays, in bringing the Solothurn facility online, we may not have sufficient large-scale manufacturing capacity to meet our long-term manufacturing requirements.</w:t>
      </w:r>
    </w:p>
    <w:p>
      <w:pPr>
        <w:spacing w:after="0" w:line="82" w:lineRule="exact"/>
        <w:rPr>
          <w:sz w:val="20"/>
          <w:szCs w:val="20"/>
          <w:color w:val="auto"/>
        </w:rPr>
      </w:pPr>
    </w:p>
    <w:p>
      <w:pPr>
        <w:jc w:val="both"/>
        <w:ind w:right="120" w:firstLine="405"/>
        <w:spacing w:after="0" w:line="256" w:lineRule="auto"/>
        <w:rPr>
          <w:sz w:val="20"/>
          <w:szCs w:val="20"/>
          <w:color w:val="auto"/>
        </w:rPr>
      </w:pPr>
      <w:r>
        <w:rPr>
          <w:rFonts w:ascii="Arial" w:cs="Arial" w:eastAsia="Arial" w:hAnsi="Arial"/>
          <w:sz w:val="18"/>
          <w:szCs w:val="18"/>
          <w:color w:val="auto"/>
        </w:rPr>
        <w:t>If we are unable to adequately and timely manufacture and supply our products and product candidates or if we do not fully utilize our manufacturing facilities, our business may be harmed. Charges resulting from excess capacity would have a negative effect on our financial condition and results of operations.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99" w:lineRule="exact"/>
        <w:rPr>
          <w:sz w:val="20"/>
          <w:szCs w:val="20"/>
          <w:color w:val="auto"/>
        </w:rPr>
      </w:pPr>
    </w:p>
    <w:p>
      <w:pPr>
        <w:ind w:left="740" w:right="20" w:hanging="327"/>
        <w:spacing w:after="0" w:line="254"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 Parties and Single Source Providers. </w:t>
      </w:r>
      <w:r>
        <w:rPr>
          <w:rFonts w:ascii="Arial" w:cs="Arial" w:eastAsia="Arial" w:hAnsi="Arial"/>
          <w:sz w:val="18"/>
          <w:szCs w:val="18"/>
          <w:color w:val="auto"/>
        </w:rPr>
        <w:t>We rely on third-party suppliers and manufacturers for many</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and financial risks that are outside of our control, including the impact of the COVID-19 pandemic.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77"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cGMP. </w:t>
      </w:r>
      <w:r>
        <w:rPr>
          <w:rFonts w:ascii="Arial" w:cs="Arial" w:eastAsia="Arial" w:hAnsi="Arial"/>
          <w:sz w:val="18"/>
          <w:szCs w:val="18"/>
          <w:color w:val="auto"/>
        </w:rPr>
        <w:t>We and our third-party providers are generally required to maintain compliance with cGMP</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79" w:lineRule="exact"/>
        <w:rPr>
          <w:rFonts w:ascii="Arial" w:cs="Arial" w:eastAsia="Arial" w:hAnsi="Arial"/>
          <w:sz w:val="18"/>
          <w:szCs w:val="18"/>
          <w:color w:val="auto"/>
        </w:rPr>
      </w:pPr>
    </w:p>
    <w:p>
      <w:pPr>
        <w:ind w:left="740" w:right="40" w:hanging="327"/>
        <w:spacing w:after="0" w:line="272"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manufacturing facilities for the production of drug substance for our large molecule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product candidates. Our global bulk supply of these products and product candidates depends on the uninterrupted and efficient operation of these facilities, which could be adversely affected by equipment failures, labor shortages, public health epidemics, natural disasters, power failures, cyber-attacks and many other factors. In addition, we are building a large-scale biologics manufacturing facility in Solothurn, Switzerland, which we expect to be partially operational during the first half of 2021. However, there can be no assurance that we will be able to meet our expected timeline or that there will not be any direct or indirect delays resulting from the COVID-19 pandemic. We have had delays, and if there are additional delays, in bringing the Solothurn facility online, we may not have sufficient large-scale manufacturing capacity to meet our long-term manufacturing requirements.</w:t>
      </w:r>
    </w:p>
    <w:p>
      <w:pPr>
        <w:spacing w:after="0" w:line="63" w:lineRule="exact"/>
        <w:rPr>
          <w:rFonts w:ascii="Arial" w:cs="Arial" w:eastAsia="Arial" w:hAnsi="Arial"/>
          <w:sz w:val="17"/>
          <w:szCs w:val="17"/>
          <w:color w:val="auto"/>
        </w:rPr>
      </w:pPr>
    </w:p>
    <w:p>
      <w:pPr>
        <w:ind w:left="740" w:right="280" w:hanging="327"/>
        <w:spacing w:after="0" w:line="258"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75" w:lineRule="exact"/>
        <w:rPr>
          <w:rFonts w:ascii="Arial" w:cs="Arial" w:eastAsia="Arial" w:hAnsi="Arial"/>
          <w:sz w:val="18"/>
          <w:szCs w:val="18"/>
          <w:color w:val="auto"/>
        </w:rPr>
      </w:pPr>
    </w:p>
    <w:p>
      <w:pPr>
        <w:ind w:left="740" w:right="620" w:hanging="327"/>
        <w:spacing w:after="0" w:line="282"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Risk Relating to Government Actions</w:t>
      </w:r>
      <w:r>
        <w:rPr>
          <w:rFonts w:ascii="Arial" w:cs="Arial" w:eastAsia="Arial" w:hAnsi="Arial"/>
          <w:sz w:val="18"/>
          <w:szCs w:val="18"/>
          <w:color w:val="auto"/>
        </w:rPr>
        <w:t>. We and/or our third-party providers may be required by the U.S. federal government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medical supplies needed to treat COVID-19 patients under the Defense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right="380"/>
        <w:spacing w:after="0" w:line="261" w:lineRule="auto"/>
        <w:rPr>
          <w:sz w:val="20"/>
          <w:szCs w:val="20"/>
          <w:color w:val="auto"/>
        </w:rPr>
      </w:pPr>
      <w:r>
        <w:rPr>
          <w:rFonts w:ascii="Arial" w:cs="Arial" w:eastAsia="Arial" w:hAnsi="Arial"/>
          <w:sz w:val="18"/>
          <w:szCs w:val="18"/>
          <w:color w:val="auto"/>
        </w:rPr>
        <w:t>Production Act or other acts or orders of government entities, which may result in delays in the manufacturing and supply of our products.</w:t>
      </w:r>
    </w:p>
    <w:p>
      <w:pPr>
        <w:spacing w:after="0" w:line="9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expenses for products that fail to meet specifications, undertake costly remediation efforts or seek more costly manufacturing alternatives. Such developments could increase our manufacturing costs, cause us to lose revenues or market share as patients and physicians turn to competing therapeutics, diminish our profitability or damage our reputation.</w:t>
      </w:r>
    </w:p>
    <w:p>
      <w:pPr>
        <w:spacing w:after="0" w:line="100"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and regulations either prospectively or retrospectively.</w:t>
      </w:r>
    </w:p>
    <w:p>
      <w:pPr>
        <w:spacing w:after="0" w:line="99"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90"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The Tax Cuts and Jobs Act of 2017 (2017 Tax Act) resulted in significant changes to the U.S. corporate income tax system. Our estimates concerning the impact of the 2017 Tax Act on our accounting and on our business remain subject to developing interpretations of the provisions of the 2017 Tax Act, which may require further adjustments and changes in our estimates, which could have a material adverse effect on our business, results of operations or financial condition. Further, the new administration could introduce new tax laws or revise or issue new interpretations of the 2017 Tax Act.</w:t>
      </w:r>
    </w:p>
    <w:p>
      <w:pPr>
        <w:spacing w:after="0" w:line="9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The Swiss Federal Act on Tax Reform and AHV Financing (TRAF) resulted in significant changes to the Swiss cantonal income tax system. Final interpretation of the transitional and new regimes of the TRAF may require further adjustments and changes in our estimates, which could have a significant adverse effect on our business, results of operations or financial condition.</w:t>
      </w:r>
    </w:p>
    <w:p>
      <w:pPr>
        <w:spacing w:after="0" w:line="94"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enactment of some or all of the recommendations set forth or that may be forthcoming in the Organization for Economic Cooperation and Development’s project on “Base Erosion and Profit Shifting” (BEPS) by tax authorities and economic blocs in the countries in which we operate, could unfavorably impact our effective tax rate. These initiatives focus on common international principles for the entitlement to taxation of global corporate profits and minimum global tax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w:t>
      </w:r>
      <w:r>
        <w:rPr>
          <w:rFonts w:ascii="Arial" w:cs="Arial" w:eastAsia="Arial" w:hAnsi="Arial"/>
          <w:sz w:val="21"/>
          <w:szCs w:val="21"/>
          <w:b w:val="1"/>
          <w:bCs w:val="1"/>
          <w:color w:val="008080"/>
        </w:rPr>
        <w:t>k</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26"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 xml:space="preserve">Our quarterly revenues, expenses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expenses that we may take. We have recorded, or may be required to record, charges that include:</w:t>
      </w:r>
    </w:p>
    <w:p>
      <w:pPr>
        <w:spacing w:after="0" w:line="94" w:lineRule="exact"/>
        <w:rPr>
          <w:sz w:val="20"/>
          <w:szCs w:val="20"/>
          <w:color w:val="auto"/>
        </w:rPr>
      </w:pPr>
    </w:p>
    <w:p>
      <w:pPr>
        <w:ind w:left="700" w:hanging="287"/>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740" w:right="680" w:hanging="327"/>
        <w:spacing w:after="0" w:line="261"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in-process research and development (IPR&amp;D) and other intangible assets;</w:t>
      </w:r>
    </w:p>
    <w:p>
      <w:pPr>
        <w:spacing w:after="0" w:line="89" w:lineRule="exact"/>
        <w:rPr>
          <w:rFonts w:ascii="Arial" w:cs="Arial" w:eastAsia="Arial" w:hAnsi="Arial"/>
          <w:sz w:val="18"/>
          <w:szCs w:val="18"/>
          <w:color w:val="auto"/>
        </w:rPr>
      </w:pPr>
    </w:p>
    <w:p>
      <w:pPr>
        <w:ind w:left="740" w:right="520" w:hanging="327"/>
        <w:spacing w:after="0" w:line="261"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or obsolete inventory and charges for inventory write downs relating to product suspensions, expirations or recalls;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bad debt expenses and increased bad debt reserves;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74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740" w:right="46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employees, the global economy and the delivery of healthcare treatments.</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revenues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2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expenses, lease termination fees, rent expense in excess of sublease income and impairment of leasehold improvements and accelerated depreciation of assets. Any of these events may have an adverse impact on our results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12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 reduction in repurchases under, or the completion of, our share repurchase programs could have a negative effect on our stock price. We can provide no assurance that we will repurchase shares at favorable prices, if at all.</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2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Changes in credit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ratings issued by nationally recognized credit rating agencies could also adversely affect our cost of financing and the market price of our securities.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12"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90" w:lineRule="exact"/>
        <w:rPr>
          <w:sz w:val="20"/>
          <w:szCs w:val="20"/>
          <w:color w:val="auto"/>
        </w:rPr>
      </w:pPr>
    </w:p>
    <w:p>
      <w:pPr>
        <w:ind w:left="700" w:hanging="28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740" w:right="60" w:hanging="327"/>
        <w:spacing w:after="0" w:line="256"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93" w:lineRule="exact"/>
        <w:rPr>
          <w:rFonts w:ascii="Arial" w:cs="Arial" w:eastAsia="Arial" w:hAnsi="Arial"/>
          <w:sz w:val="18"/>
          <w:szCs w:val="18"/>
          <w:color w:val="auto"/>
        </w:rPr>
      </w:pPr>
    </w:p>
    <w:p>
      <w:pPr>
        <w:ind w:left="740" w:right="60" w:hanging="327"/>
        <w:spacing w:after="0" w:line="261"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have less debt.</w:t>
      </w:r>
    </w:p>
    <w:p>
      <w:pPr>
        <w:spacing w:after="0" w:line="68" w:lineRule="exact"/>
        <w:rPr>
          <w:sz w:val="20"/>
          <w:szCs w:val="20"/>
          <w:color w:val="auto"/>
        </w:rPr>
      </w:pPr>
    </w:p>
    <w:p>
      <w:pPr>
        <w:ind w:right="160" w:firstLine="243"/>
        <w:spacing w:after="0" w:line="287"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 party from attempting to acquire us.</w:t>
      </w:r>
    </w:p>
    <w:p>
      <w:pPr>
        <w:spacing w:after="0" w:line="67" w:lineRule="exact"/>
        <w:rPr>
          <w:sz w:val="20"/>
          <w:szCs w:val="20"/>
          <w:color w:val="auto"/>
        </w:rPr>
      </w:pPr>
    </w:p>
    <w:p>
      <w:pPr>
        <w:ind w:right="100" w:firstLine="202"/>
        <w:spacing w:after="0" w:line="254"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2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1C5A7D"/>
        </w:rPr>
        <w:t>Item 1B.</w:t>
      </w:r>
      <w:r>
        <w:rPr>
          <w:sz w:val="20"/>
          <w:szCs w:val="20"/>
          <w:color w:val="auto"/>
        </w:rPr>
        <w:tab/>
      </w:r>
      <w:r>
        <w:rPr>
          <w:rFonts w:ascii="Arial" w:cs="Arial" w:eastAsia="Arial" w:hAnsi="Arial"/>
          <w:sz w:val="21"/>
          <w:szCs w:val="21"/>
          <w:b w:val="1"/>
          <w:bCs w:val="1"/>
          <w:color w:val="1C5A7D"/>
        </w:rPr>
        <w:t>Unresolved Staff Comments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1C5A7D"/>
        </w:rPr>
        <w:t>Item 2.</w:t>
      </w:r>
      <w:r>
        <w:rPr>
          <w:sz w:val="20"/>
          <w:szCs w:val="20"/>
          <w:color w:val="auto"/>
        </w:rPr>
        <w:tab/>
      </w:r>
      <w:r>
        <w:rPr>
          <w:rFonts w:ascii="Arial" w:cs="Arial" w:eastAsia="Arial" w:hAnsi="Arial"/>
          <w:sz w:val="21"/>
          <w:szCs w:val="21"/>
          <w:b w:val="1"/>
          <w:bCs w:val="1"/>
          <w:color w:val="1C5A7D"/>
        </w:rPr>
        <w:t>Properties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owned and leased properties as of December 31, 2020.</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Massachusetts</w:t>
      </w:r>
    </w:p>
    <w:p>
      <w:pPr>
        <w:spacing w:after="0" w:line="126" w:lineRule="exact"/>
        <w:rPr>
          <w:sz w:val="20"/>
          <w:szCs w:val="20"/>
          <w:color w:val="auto"/>
        </w:rPr>
      </w:pPr>
    </w:p>
    <w:p>
      <w:pPr>
        <w:jc w:val="both"/>
        <w:ind w:right="400" w:firstLine="445"/>
        <w:spacing w:after="0" w:line="256" w:lineRule="auto"/>
        <w:rPr>
          <w:sz w:val="20"/>
          <w:szCs w:val="20"/>
          <w:color w:val="auto"/>
        </w:rPr>
      </w:pPr>
      <w:r>
        <w:rPr>
          <w:rFonts w:ascii="Arial" w:cs="Arial" w:eastAsia="Arial" w:hAnsi="Arial"/>
          <w:sz w:val="18"/>
          <w:szCs w:val="18"/>
          <w:color w:val="auto"/>
        </w:rPr>
        <w:t>In Cambridge, MA we own approximately 508,000 square feet of real estate space, consisting of a building that houses a research laboratory and a cogeneration plant totaling approximately 263,000 square feet and a building that contains research, development and quality laboratories totaling approximately 245,000 square feet.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lease a total of approximately 1,169,000 square feet in Massachusetts, which is summarized as follows:</w:t>
      </w:r>
    </w:p>
    <w:p>
      <w:pPr>
        <w:spacing w:after="0" w:line="171" w:lineRule="exact"/>
        <w:rPr>
          <w:sz w:val="20"/>
          <w:szCs w:val="20"/>
          <w:color w:val="auto"/>
        </w:rPr>
      </w:pPr>
    </w:p>
    <w:p>
      <w:pPr>
        <w:ind w:left="740" w:right="60" w:hanging="327"/>
        <w:spacing w:after="0" w:line="256"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800,000 square feet in Cambridge, MA, which is comprised of offices for our corporate headquarters and other administrative and development functions and laboratories, of which 265,000 square feet is subleased by multiple companies for general office space, laboratories and manufacturing facilities;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0" w:right="340" w:hanging="327"/>
        <w:spacing w:after="0" w:line="261"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357,000 square feet of office space in Weston, MA, of which 174,000 square feet is subleased through the remaining term of our lease agreement; and</w:t>
      </w:r>
    </w:p>
    <w:p>
      <w:pPr>
        <w:spacing w:after="0" w:line="143" w:lineRule="exact"/>
        <w:rPr>
          <w:rFonts w:ascii="Arial" w:cs="Arial" w:eastAsia="Arial" w:hAnsi="Arial"/>
          <w:sz w:val="18"/>
          <w:szCs w:val="18"/>
          <w:color w:val="auto"/>
        </w:rPr>
      </w:pPr>
    </w:p>
    <w:p>
      <w:pPr>
        <w:ind w:left="700" w:hanging="287"/>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12,000 square feet of office space in Waltham, MA.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Massachusetts lease agreements expire at various dates through the year 2028.</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North Carolina</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RTP, NC we own approximately 1,040,000 square feet of real estate space, which is summarized as follows:</w:t>
      </w:r>
    </w:p>
    <w:p>
      <w:pPr>
        <w:spacing w:after="0" w:line="171" w:lineRule="exact"/>
        <w:rPr>
          <w:sz w:val="20"/>
          <w:szCs w:val="20"/>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357,000 square feet of laboratory and office space;</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206,000 square foot multi-purpose facility, including an ASO manufacturing suite and administrative space;</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175,000 square feet related to a large-scale biologics manufacturing facility;</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105,000 square feet related to a small-scale biologics manufacturing facility;</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84,000 square feet of warehouse space and utilities;</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70,000 square feet related to a parenteral fill-finish facility; and</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43,000 square feet related to a large-scale purification facility.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lease approximately 65,000 square feet of warehouse space and 103,000 square feet of office space in Durham,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North Carolina lease agreements expire at various dates through the year 2031.</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Switzerland</w:t>
      </w:r>
    </w:p>
    <w:p>
      <w:pPr>
        <w:spacing w:after="0" w:line="11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We expect this facility to be partially operational during the first half of 2021. Upon completion, the facility will include 393,000 square feet related to a large-scale biologics manufacturing facility, 290,000 square feet of warehouse, utilities and support space and 51,000 square feet of administrative space.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International</w:t>
      </w:r>
    </w:p>
    <w:p>
      <w:pPr>
        <w:spacing w:after="0" w:line="126"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lease office space in Baar, Switzerland, our international headquarters; the U.K.; Germany; France; Japan; Canada and numerous other countries. Our international lease agreements expire at various dates through the year 2030.</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1C5A7D"/>
        </w:rPr>
        <w:t>Item 3.</w:t>
      </w:r>
      <w:r>
        <w:rPr>
          <w:sz w:val="20"/>
          <w:szCs w:val="20"/>
          <w:color w:val="auto"/>
        </w:rPr>
        <w:tab/>
      </w:r>
      <w:r>
        <w:rPr>
          <w:rFonts w:ascii="Arial" w:cs="Arial" w:eastAsia="Arial" w:hAnsi="Arial"/>
          <w:sz w:val="21"/>
          <w:szCs w:val="21"/>
          <w:b w:val="1"/>
          <w:bCs w:val="1"/>
          <w:color w:val="1C5A7D"/>
        </w:rPr>
        <w:t>Legal Proceedings</w:t>
      </w:r>
    </w:p>
    <w:p>
      <w:pPr>
        <w:spacing w:after="0" w:line="85"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color w:val="auto"/>
        </w:rPr>
        <w:t xml:space="preserve">For a discussion of legal matters as of December 31, 2020,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 which is incorporated into this item by reference.</w:t>
      </w:r>
    </w:p>
    <w:p>
      <w:pPr>
        <w:spacing w:after="0" w:line="20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1C5A7D"/>
        </w:rPr>
        <w:t>Item 4.</w:t>
      </w:r>
      <w:r>
        <w:rPr>
          <w:sz w:val="20"/>
          <w:szCs w:val="20"/>
          <w:color w:val="auto"/>
        </w:rPr>
        <w:tab/>
      </w:r>
      <w:r>
        <w:rPr>
          <w:rFonts w:ascii="Arial" w:cs="Arial" w:eastAsia="Arial" w:hAnsi="Arial"/>
          <w:sz w:val="21"/>
          <w:szCs w:val="21"/>
          <w:b w:val="1"/>
          <w:bCs w:val="1"/>
          <w:color w:val="1C5A7D"/>
        </w:rPr>
        <w:t>Mine Safety Disclosures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PART II</w:t>
      </w:r>
    </w:p>
    <w:p>
      <w:pPr>
        <w:spacing w:after="0" w:line="30" w:lineRule="exact"/>
        <w:rPr>
          <w:sz w:val="20"/>
          <w:szCs w:val="20"/>
          <w:color w:val="auto"/>
        </w:rPr>
      </w:pPr>
    </w:p>
    <w:p>
      <w:pPr>
        <w:ind w:right="540"/>
        <w:spacing w:after="0" w:line="249" w:lineRule="auto"/>
        <w:rPr>
          <w:sz w:val="20"/>
          <w:szCs w:val="20"/>
          <w:color w:val="auto"/>
        </w:rPr>
      </w:pPr>
      <w:r>
        <w:rPr>
          <w:rFonts w:ascii="Arial" w:cs="Arial" w:eastAsia="Arial" w:hAnsi="Arial"/>
          <w:sz w:val="22"/>
          <w:szCs w:val="22"/>
          <w:b w:val="1"/>
          <w:bCs w:val="1"/>
          <w:color w:val="1C5A7D"/>
        </w:rPr>
        <w:t>Item 5. Market for Registrant’s Common Equity, Related Stockholder Matters and Issuer Purchases of Equity Securities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Market and Stockholder Information</w:t>
      </w:r>
    </w:p>
    <w:p>
      <w:pPr>
        <w:spacing w:after="0" w:line="103" w:lineRule="exact"/>
        <w:rPr>
          <w:sz w:val="20"/>
          <w:szCs w:val="20"/>
          <w:color w:val="auto"/>
        </w:rPr>
      </w:pPr>
    </w:p>
    <w:p>
      <w:pPr>
        <w:ind w:right="840" w:firstLine="445"/>
        <w:spacing w:after="0" w:line="261" w:lineRule="auto"/>
        <w:rPr>
          <w:sz w:val="20"/>
          <w:szCs w:val="20"/>
          <w:color w:val="auto"/>
        </w:rPr>
      </w:pPr>
      <w:r>
        <w:rPr>
          <w:rFonts w:ascii="Arial" w:cs="Arial" w:eastAsia="Arial" w:hAnsi="Arial"/>
          <w:sz w:val="18"/>
          <w:szCs w:val="18"/>
          <w:color w:val="auto"/>
        </w:rPr>
        <w:t>Our common stock trades on The Nasdaq Global Select Market under the symbol “BIIB.” As of February 2, 2021, there were approximately 505 shareholders of record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Dividends</w:t>
      </w:r>
    </w:p>
    <w:p>
      <w:pPr>
        <w:spacing w:after="0" w:line="116" w:lineRule="exact"/>
        <w:rPr>
          <w:sz w:val="20"/>
          <w:szCs w:val="20"/>
          <w:color w:val="auto"/>
        </w:rPr>
      </w:pPr>
    </w:p>
    <w:p>
      <w:pPr>
        <w:ind w:right="340" w:firstLine="445"/>
        <w:spacing w:after="0" w:line="256" w:lineRule="auto"/>
        <w:rPr>
          <w:sz w:val="20"/>
          <w:szCs w:val="20"/>
          <w:color w:val="auto"/>
        </w:rPr>
      </w:pPr>
      <w:r>
        <w:rPr>
          <w:rFonts w:ascii="Arial" w:cs="Arial" w:eastAsia="Arial" w:hAnsi="Arial"/>
          <w:sz w:val="18"/>
          <w:szCs w:val="18"/>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share repurchases and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Issuer Purchases of Equity Securities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common stock repurchase activity during the fourth quarter of 2020:</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left="188"/>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Average Price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as 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jc w:val="center"/>
              <w:ind w:left="128"/>
              <w:spacing w:after="0" w:line="135" w:lineRule="exact"/>
              <w:rPr>
                <w:sz w:val="20"/>
                <w:szCs w:val="20"/>
                <w:color w:val="auto"/>
              </w:rPr>
            </w:pPr>
            <w:r>
              <w:rPr>
                <w:rFonts w:ascii="Arial" w:cs="Arial" w:eastAsia="Arial" w:hAnsi="Arial"/>
                <w:sz w:val="14"/>
                <w:szCs w:val="14"/>
                <w:b w:val="1"/>
                <w:bCs w:val="1"/>
                <w:color w:val="auto"/>
              </w:rPr>
              <w:t>Paid per Share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Announced Programs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5"/>
        </w:trPr>
        <w:tc>
          <w:tcPr>
            <w:tcW w:w="2120" w:type="dxa"/>
            <w:vAlign w:val="bottom"/>
            <w:tcBorders>
              <w:bottom w:val="single" w:sz="8" w:color="auto"/>
            </w:tcBorders>
            <w:vMerge w:val="continue"/>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9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Our Programs ($</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Arial" w:cs="Arial" w:eastAsia="Arial" w:hAnsi="Arial"/>
                <w:sz w:val="14"/>
                <w:szCs w:val="14"/>
                <w:color w:val="auto"/>
              </w:rPr>
              <w:t>October 2020</w:t>
            </w:r>
          </w:p>
        </w:tc>
        <w:tc>
          <w:tcPr>
            <w:tcW w:w="21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480" w:type="dxa"/>
            <w:vAlign w:val="bottom"/>
            <w:gridSpan w:val="3"/>
            <w:shd w:val="clear" w:color="auto" w:fill="DDDDDD"/>
          </w:tcPr>
          <w:p>
            <w:pPr>
              <w:jc w:val="right"/>
              <w:ind w:right="1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DDDDD"/>
          </w:tcPr>
          <w:p>
            <w:pPr>
              <w:spacing w:after="0"/>
              <w:rPr>
                <w:sz w:val="15"/>
                <w:szCs w:val="15"/>
                <w:color w:val="auto"/>
              </w:rPr>
            </w:pPr>
          </w:p>
        </w:tc>
        <w:tc>
          <w:tcPr>
            <w:tcW w:w="2560" w:type="dxa"/>
            <w:vAlign w:val="bottom"/>
            <w:gridSpan w:val="3"/>
            <w:shd w:val="clear" w:color="auto" w:fill="DDDDDD"/>
          </w:tcPr>
          <w:p>
            <w:pPr>
              <w:jc w:val="right"/>
              <w:ind w:right="2008"/>
              <w:spacing w:after="0"/>
              <w:rPr>
                <w:sz w:val="20"/>
                <w:szCs w:val="20"/>
                <w:color w:val="auto"/>
              </w:rPr>
            </w:pPr>
            <w:r>
              <w:rPr>
                <w:rFonts w:ascii="Arial" w:cs="Arial" w:eastAsia="Arial" w:hAnsi="Arial"/>
                <w:sz w:val="14"/>
                <w:szCs w:val="14"/>
                <w:color w:val="257ACB"/>
              </w:rPr>
              <w:t>—</w:t>
            </w:r>
          </w:p>
        </w:tc>
        <w:tc>
          <w:tcPr>
            <w:tcW w:w="38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DDDDD"/>
          </w:tcPr>
          <w:p>
            <w:pPr>
              <w:jc w:val="right"/>
              <w:ind w:right="108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5,000.0</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November 2020</w:t>
            </w:r>
          </w:p>
        </w:tc>
        <w:tc>
          <w:tcPr>
            <w:tcW w:w="21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DDDDD"/>
          </w:tcPr>
          <w:p>
            <w:pPr>
              <w:spacing w:after="0"/>
              <w:rPr>
                <w:sz w:val="16"/>
                <w:szCs w:val="16"/>
                <w:color w:val="auto"/>
              </w:rPr>
            </w:pPr>
          </w:p>
        </w:tc>
        <w:tc>
          <w:tcPr>
            <w:tcW w:w="440" w:type="dxa"/>
            <w:vAlign w:val="bottom"/>
            <w:gridSpan w:val="2"/>
            <w:shd w:val="clear" w:color="auto" w:fill="DDDDDD"/>
          </w:tcPr>
          <w:p>
            <w:pPr>
              <w:jc w:val="right"/>
              <w:ind w:right="1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DDDDD"/>
          </w:tcPr>
          <w:p>
            <w:pPr>
              <w:spacing w:after="0"/>
              <w:rPr>
                <w:sz w:val="16"/>
                <w:szCs w:val="16"/>
                <w:color w:val="auto"/>
              </w:rPr>
            </w:pPr>
          </w:p>
        </w:tc>
        <w:tc>
          <w:tcPr>
            <w:tcW w:w="2560" w:type="dxa"/>
            <w:vAlign w:val="bottom"/>
            <w:gridSpan w:val="3"/>
            <w:shd w:val="clear" w:color="auto" w:fill="DDDDDD"/>
          </w:tcPr>
          <w:p>
            <w:pPr>
              <w:jc w:val="right"/>
              <w:ind w:right="2008"/>
              <w:spacing w:after="0"/>
              <w:rPr>
                <w:sz w:val="20"/>
                <w:szCs w:val="20"/>
                <w:color w:val="auto"/>
              </w:rPr>
            </w:pPr>
            <w:r>
              <w:rPr>
                <w:rFonts w:ascii="Arial" w:cs="Arial" w:eastAsia="Arial" w:hAnsi="Arial"/>
                <w:sz w:val="14"/>
                <w:szCs w:val="14"/>
                <w:color w:val="257ACB"/>
              </w:rPr>
              <w:t>—</w:t>
            </w:r>
          </w:p>
        </w:tc>
        <w:tc>
          <w:tcPr>
            <w:tcW w:w="38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DDDDD"/>
          </w:tcPr>
          <w:p>
            <w:pPr>
              <w:jc w:val="right"/>
              <w:ind w:right="108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5,000.0</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December 2020</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1,620,969</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DDDDD"/>
          </w:tcPr>
          <w:p>
            <w:pPr>
              <w:spacing w:after="0"/>
              <w:rPr>
                <w:sz w:val="16"/>
                <w:szCs w:val="16"/>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246.77</w:t>
            </w:r>
          </w:p>
        </w:tc>
        <w:tc>
          <w:tcPr>
            <w:tcW w:w="120" w:type="dxa"/>
            <w:vAlign w:val="bottom"/>
            <w:tcBorders>
              <w:bottom w:val="single" w:sz="8" w:color="DDDDDD"/>
            </w:tcBorders>
            <w:shd w:val="clear" w:color="auto" w:fill="DDDDDD"/>
          </w:tcPr>
          <w:p>
            <w:pPr>
              <w:spacing w:after="0"/>
              <w:rPr>
                <w:sz w:val="16"/>
                <w:szCs w:val="16"/>
                <w:color w:val="auto"/>
              </w:rPr>
            </w:pPr>
          </w:p>
        </w:tc>
        <w:tc>
          <w:tcPr>
            <w:tcW w:w="1900" w:type="dxa"/>
            <w:vAlign w:val="bottom"/>
            <w:tcBorders>
              <w:bottom w:val="single" w:sz="8" w:color="DDDDDD"/>
            </w:tcBorders>
            <w:shd w:val="clear" w:color="auto" w:fill="DDDDDD"/>
          </w:tcPr>
          <w:p>
            <w:pPr>
              <w:spacing w:after="0"/>
              <w:rPr>
                <w:sz w:val="16"/>
                <w:szCs w:val="16"/>
                <w:color w:val="auto"/>
              </w:rPr>
            </w:pPr>
          </w:p>
        </w:tc>
        <w:tc>
          <w:tcPr>
            <w:tcW w:w="380" w:type="dxa"/>
            <w:vAlign w:val="bottom"/>
            <w:tcBorders>
              <w:bottom w:val="single" w:sz="8" w:color="DDDDDD"/>
            </w:tcBorders>
            <w:gridSpan w:val="2"/>
            <w:shd w:val="clear" w:color="auto" w:fill="DDDDDD"/>
          </w:tcPr>
          <w:p>
            <w:pPr>
              <w:ind w:left="60"/>
              <w:spacing w:after="0"/>
              <w:rPr>
                <w:sz w:val="20"/>
                <w:szCs w:val="20"/>
                <w:color w:val="auto"/>
              </w:rPr>
            </w:pPr>
            <w:r>
              <w:rPr>
                <w:rFonts w:ascii="Arial" w:cs="Arial" w:eastAsia="Arial" w:hAnsi="Arial"/>
                <w:sz w:val="14"/>
                <w:szCs w:val="14"/>
                <w:color w:val="257ACB"/>
              </w:rPr>
              <w:t>—</w:t>
            </w:r>
          </w:p>
        </w:tc>
        <w:tc>
          <w:tcPr>
            <w:tcW w:w="1260" w:type="dxa"/>
            <w:vAlign w:val="bottom"/>
            <w:tcBorders>
              <w:bottom w:val="single" w:sz="8" w:color="DDDDDD"/>
            </w:tcBorders>
            <w:shd w:val="clear" w:color="auto" w:fill="DDDDDD"/>
          </w:tcPr>
          <w:p>
            <w:pPr>
              <w:jc w:val="right"/>
              <w:ind w:right="1088"/>
              <w:spacing w:after="0"/>
              <w:rPr>
                <w:sz w:val="20"/>
                <w:szCs w:val="20"/>
                <w:color w:val="auto"/>
              </w:rPr>
            </w:pPr>
            <w:r>
              <w:rPr>
                <w:rFonts w:ascii="Arial" w:cs="Arial" w:eastAsia="Arial" w:hAnsi="Arial"/>
                <w:sz w:val="14"/>
                <w:szCs w:val="14"/>
                <w:color w:val="257ACB"/>
              </w:rPr>
              <w:t>$</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4,600.0</w:t>
            </w:r>
          </w:p>
        </w:tc>
        <w:tc>
          <w:tcPr>
            <w:tcW w:w="0" w:type="dxa"/>
            <w:vAlign w:val="bottom"/>
          </w:tcPr>
          <w:p>
            <w:pPr>
              <w:spacing w:after="0"/>
              <w:rPr>
                <w:sz w:val="1"/>
                <w:szCs w:val="1"/>
                <w:color w:val="auto"/>
              </w:rPr>
            </w:pPr>
          </w:p>
        </w:tc>
      </w:tr>
      <w:tr>
        <w:trPr>
          <w:trHeight w:val="208"/>
        </w:trPr>
        <w:tc>
          <w:tcPr>
            <w:tcW w:w="2120" w:type="dxa"/>
            <w:vAlign w:val="bottom"/>
          </w:tcPr>
          <w:p>
            <w:pPr>
              <w:ind w:left="14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1,620,969</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DDDDD"/>
          </w:tcPr>
          <w:p>
            <w:pPr>
              <w:spacing w:after="0"/>
              <w:rPr>
                <w:sz w:val="17"/>
                <w:szCs w:val="17"/>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246.77</w:t>
            </w:r>
          </w:p>
        </w:tc>
        <w:tc>
          <w:tcPr>
            <w:tcW w:w="120" w:type="dxa"/>
            <w:vAlign w:val="bottom"/>
            <w:tcBorders>
              <w:bottom w:val="single" w:sz="8" w:color="DDDDDD"/>
            </w:tcBorders>
            <w:shd w:val="clear" w:color="auto" w:fill="DDDDDD"/>
          </w:tcPr>
          <w:p>
            <w:pPr>
              <w:spacing w:after="0"/>
              <w:rPr>
                <w:sz w:val="17"/>
                <w:szCs w:val="17"/>
                <w:color w:val="auto"/>
              </w:rPr>
            </w:pPr>
          </w:p>
        </w:tc>
        <w:tc>
          <w:tcPr>
            <w:tcW w:w="19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260" w:type="dxa"/>
            <w:vAlign w:val="bottom"/>
            <w:tcBorders>
              <w:bottom w:val="single" w:sz="8" w:color="DDDDDD"/>
            </w:tcBorders>
            <w:shd w:val="clear" w:color="auto" w:fill="DDDDDD"/>
          </w:tcPr>
          <w:p>
            <w:pPr>
              <w:spacing w:after="0"/>
              <w:rPr>
                <w:sz w:val="17"/>
                <w:szCs w:val="17"/>
                <w:color w:val="auto"/>
              </w:rPr>
            </w:pPr>
          </w:p>
        </w:tc>
        <w:tc>
          <w:tcPr>
            <w:tcW w:w="90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14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54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9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26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1.6 million shares of our common stock at a cost of approximately $400.0 million during the year ended December 31, 2020.</w:t>
      </w:r>
    </w:p>
    <w:p>
      <w:pPr>
        <w:spacing w:after="0" w:line="15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16.7 million shares of our common stock at a cost of approximately $5.0 billion during the year ended December 31, 2020.</w:t>
      </w:r>
    </w:p>
    <w:p>
      <w:pPr>
        <w:spacing w:after="0" w:line="150"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 2019 Share Repurchase Program), which was completed as of March 31, 2020. All shares repurchased under our March 2019 Share Repurchase Program were retired. Under our March 2019 Share Repurchase Program, we repurchased and retired approximately 4.1 million and 14.7 million shares of our common stock at a cost of approximately $1.3 billion and $3.7 billion during the years ended December 31, 2020 and 2019, respectively.</w:t>
      </w:r>
    </w:p>
    <w:p>
      <w:pPr>
        <w:spacing w:after="0" w:line="151"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August 2018 our Board of Directors authorized a program to repurchase up to $3.5 billion of our common stock (2018 Share Repurchase Program), which was completed as of June 30, 2019. All share repurchases under our 2018 Share Repurchase Program were retired. Under our 2018 Share Repurchase Program, we repurchased and retired approximately 8.9 million and 4.3 million shares of our common stock at a cost of approximately $2.1 billion and $1.4 billion during the years ended December 31, 2019 and 2018, respectively.</w:t>
      </w:r>
    </w:p>
    <w:p>
      <w:pPr>
        <w:spacing w:after="0" w:line="150"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July 2016 our Board of Directors authorized a program to repurchase up to $5.0 billion of our common stock (2016 Share Repurchase Program), which was completed as of June 30, 2018. All share repurchases under our 2016 Share Repurchase Program were retired. Under our 2016 Share Repurchase Program, we repurchased and retired approximately 10.5 million shares of common stock at a cost of approximately $3.0 billion during the year ended December 31, 2018.</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Performance Graph</w:t>
      </w:r>
    </w:p>
    <w:p>
      <w:pPr>
        <w:spacing w:after="0" w:line="103" w:lineRule="exact"/>
        <w:rPr>
          <w:sz w:val="20"/>
          <w:szCs w:val="20"/>
          <w:color w:val="auto"/>
        </w:rPr>
      </w:pPr>
    </w:p>
    <w:p>
      <w:pPr>
        <w:ind w:right="880" w:firstLine="445"/>
        <w:spacing w:after="0" w:line="261" w:lineRule="auto"/>
        <w:rPr>
          <w:sz w:val="20"/>
          <w:szCs w:val="20"/>
          <w:color w:val="auto"/>
        </w:rPr>
      </w:pPr>
      <w:r>
        <w:rPr>
          <w:rFonts w:ascii="Arial" w:cs="Arial" w:eastAsia="Arial" w:hAnsi="Arial"/>
          <w:sz w:val="18"/>
          <w:szCs w:val="18"/>
          <w:color w:val="auto"/>
        </w:rPr>
        <w:t>The performance graph below compares the five-year cumulative total stockholder return on our common stock, the Nasdaq Pharmaceutical Index, the S&amp;P 500 Index and the Nasdaq Biotechnology Index.</w:t>
      </w:r>
    </w:p>
    <w:p>
      <w:pPr>
        <w:spacing w:after="0" w:line="7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 xml:space="preserve">On February 1, 2017, we completed the spin-off of our hemophilia business, Bioverativ Inc. (Bioverativ), as an independent, publicly traded company. In connection with the spin-off, each Biogen shareholder received one share of Bioverativ common stock for every two shares of Biogen common stock they owned. For additional information on the spin-off of our hemophilia business,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Hemophilia Spin-Off</w:t>
      </w:r>
      <w:r>
        <w:rPr>
          <w:rFonts w:ascii="Arial" w:cs="Arial" w:eastAsia="Arial" w:hAnsi="Arial"/>
          <w:sz w:val="18"/>
          <w:szCs w:val="18"/>
          <w:color w:val="auto"/>
        </w:rPr>
        <w:t>, to our consolidated financial statements included in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8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The performance graph below assumes the investment of $100.00 on December 31, 2015, in our common stock and each of the three indexes, with dividends being reinvested. Our stock prices have been adjusted for the effect of the spin-off of our hemophilia business. The five-year cumulative total stockholder return for Biogen does not reflect the reinvestment by Biogen shareholders of the distribution they received in connection with the spin-off of our hemophilia business or any subsequent increase or decrease in value of Bioverativ stock subsequent to the spin-off.</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254625" cy="4114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184"/>
        </w:trPr>
        <w:tc>
          <w:tcPr>
            <w:tcW w:w="3060" w:type="dxa"/>
            <w:vAlign w:val="bottom"/>
          </w:tcPr>
          <w:p>
            <w:pPr>
              <w:spacing w:after="0"/>
              <w:rPr>
                <w:sz w:val="20"/>
                <w:szCs w:val="20"/>
                <w:color w:val="auto"/>
              </w:rPr>
            </w:pPr>
            <w:r>
              <w:rPr>
                <w:rFonts w:ascii="Arial" w:cs="Arial" w:eastAsia="Arial" w:hAnsi="Arial"/>
                <w:sz w:val="14"/>
                <w:szCs w:val="14"/>
                <w:color w:val="auto"/>
              </w:rPr>
              <w:t>Biogen Inc.</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$92.57</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$112.74</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$106.49</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$105.01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$86.65</w:t>
            </w:r>
          </w:p>
        </w:tc>
      </w:tr>
      <w:tr>
        <w:trPr>
          <w:trHeight w:val="189"/>
        </w:trPr>
        <w:tc>
          <w:tcPr>
            <w:tcW w:w="3060" w:type="dxa"/>
            <w:vAlign w:val="bottom"/>
          </w:tcPr>
          <w:p>
            <w:pPr>
              <w:spacing w:after="0"/>
              <w:rPr>
                <w:sz w:val="20"/>
                <w:szCs w:val="20"/>
                <w:color w:val="auto"/>
              </w:rPr>
            </w:pPr>
            <w:r>
              <w:rPr>
                <w:rFonts w:ascii="Arial" w:cs="Arial" w:eastAsia="Arial" w:hAnsi="Arial"/>
                <w:sz w:val="14"/>
                <w:szCs w:val="14"/>
                <w:color w:val="auto"/>
              </w:rPr>
              <w:t>Nasdaq Pharmaceutical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$98.91</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$127.20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$145.65</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$160.97</w:t>
            </w:r>
          </w:p>
        </w:tc>
      </w:tr>
      <w:tr>
        <w:trPr>
          <w:trHeight w:val="189"/>
        </w:trPr>
        <w:tc>
          <w:tcPr>
            <w:tcW w:w="3060" w:type="dxa"/>
            <w:vAlign w:val="bottom"/>
          </w:tcPr>
          <w:p>
            <w:pPr>
              <w:spacing w:after="0"/>
              <w:rPr>
                <w:sz w:val="20"/>
                <w:szCs w:val="20"/>
                <w:color w:val="auto"/>
              </w:rPr>
            </w:pPr>
            <w:r>
              <w:rPr>
                <w:rFonts w:ascii="Arial" w:cs="Arial" w:eastAsia="Arial" w:hAnsi="Arial"/>
                <w:sz w:val="14"/>
                <w:szCs w:val="14"/>
                <w:color w:val="auto"/>
              </w:rPr>
              <w:t>S&amp;P 500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$111.96</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$136.40</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$130.42</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$171.49</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$203.04</w:t>
            </w:r>
          </w:p>
        </w:tc>
      </w:tr>
      <w:tr>
        <w:trPr>
          <w:trHeight w:val="189"/>
        </w:trPr>
        <w:tc>
          <w:tcPr>
            <w:tcW w:w="3060" w:type="dxa"/>
            <w:vAlign w:val="bottom"/>
          </w:tcPr>
          <w:p>
            <w:pPr>
              <w:spacing w:after="0"/>
              <w:rPr>
                <w:sz w:val="20"/>
                <w:szCs w:val="20"/>
                <w:color w:val="auto"/>
              </w:rPr>
            </w:pPr>
            <w:r>
              <w:rPr>
                <w:rFonts w:ascii="Arial" w:cs="Arial" w:eastAsia="Arial" w:hAnsi="Arial"/>
                <w:sz w:val="14"/>
                <w:szCs w:val="14"/>
                <w:color w:val="auto"/>
              </w:rPr>
              <w:t>Nasdaq Biotechnology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$78.65</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$95.69</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$87.21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$109.11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$137.94</w:t>
            </w:r>
          </w:p>
        </w:tc>
      </w:tr>
    </w:tbl>
    <w:p>
      <w:pPr>
        <w:spacing w:after="0" w:line="155" w:lineRule="exact"/>
        <w:rPr>
          <w:sz w:val="20"/>
          <w:szCs w:val="20"/>
          <w:color w:val="auto"/>
        </w:rPr>
      </w:pPr>
    </w:p>
    <w:p>
      <w:pPr>
        <w:ind w:right="460" w:firstLine="445"/>
        <w:spacing w:after="0" w:line="266" w:lineRule="auto"/>
        <w:rPr>
          <w:sz w:val="20"/>
          <w:szCs w:val="20"/>
          <w:color w:val="auto"/>
        </w:rPr>
      </w:pPr>
      <w:r>
        <w:rPr>
          <w:rFonts w:ascii="Arial" w:cs="Arial" w:eastAsia="Arial" w:hAnsi="Arial"/>
          <w:sz w:val="18"/>
          <w:szCs w:val="18"/>
          <w:color w:val="auto"/>
        </w:rPr>
        <w:t xml:space="preserve">The information included under the heading </w:t>
      </w:r>
      <w:r>
        <w:rPr>
          <w:rFonts w:ascii="Arial" w:cs="Arial" w:eastAsia="Arial" w:hAnsi="Arial"/>
          <w:sz w:val="18"/>
          <w:szCs w:val="18"/>
          <w:i w:val="1"/>
          <w:iCs w:val="1"/>
          <w:color w:val="auto"/>
        </w:rPr>
        <w:t>Performance Graph</w:t>
      </w:r>
      <w:r>
        <w:rPr>
          <w:rFonts w:ascii="Arial" w:cs="Arial" w:eastAsia="Arial" w:hAnsi="Arial"/>
          <w:sz w:val="18"/>
          <w:szCs w:val="18"/>
          <w:color w:val="auto"/>
        </w:rPr>
        <w:t xml:space="preserve"> is “furnished” and not “filed” for purposes of Section 18 of the Securities Exchange Act, or otherwise subject to the liabilities of that section, nor shall it be deemed to be “soliciting material” subject to Regulation 14A or incorporated by reference in any filing under the Securities Act of 1933 or the Securities Exchange Act of 1934.</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b w:val="1"/>
                <w:bCs w:val="1"/>
                <w:color w:val="1C5A7D"/>
              </w:rPr>
              <w:t>Item 6.</w:t>
            </w:r>
          </w:p>
        </w:tc>
        <w:tc>
          <w:tcPr>
            <w:tcW w:w="3720" w:type="dxa"/>
            <w:vAlign w:val="bottom"/>
          </w:tcPr>
          <w:p>
            <w:pPr>
              <w:ind w:left="80"/>
              <w:spacing w:after="0"/>
              <w:rPr>
                <w:sz w:val="20"/>
                <w:szCs w:val="20"/>
                <w:color w:val="auto"/>
              </w:rPr>
            </w:pPr>
            <w:r>
              <w:rPr>
                <w:rFonts w:ascii="Arial" w:cs="Arial" w:eastAsia="Arial" w:hAnsi="Arial"/>
                <w:sz w:val="22"/>
                <w:szCs w:val="22"/>
                <w:b w:val="1"/>
                <w:bCs w:val="1"/>
                <w:color w:val="1C5A7D"/>
              </w:rPr>
              <w:t>Selected Financial Data</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920" w:type="dxa"/>
            <w:vAlign w:val="bottom"/>
          </w:tcPr>
          <w:p>
            <w:pPr>
              <w:spacing w:after="0"/>
              <w:rPr>
                <w:sz w:val="24"/>
                <w:szCs w:val="24"/>
                <w:color w:val="auto"/>
              </w:rPr>
            </w:pPr>
          </w:p>
        </w:tc>
        <w:tc>
          <w:tcPr>
            <w:tcW w:w="6720" w:type="dxa"/>
            <w:vAlign w:val="bottom"/>
            <w:gridSpan w:val="9"/>
          </w:tcPr>
          <w:p>
            <w:pPr>
              <w:jc w:val="right"/>
              <w:ind w:right="280"/>
              <w:spacing w:after="0"/>
              <w:rPr>
                <w:sz w:val="20"/>
                <w:szCs w:val="20"/>
                <w:color w:val="auto"/>
              </w:rPr>
            </w:pPr>
            <w:r>
              <w:rPr>
                <w:rFonts w:ascii="Arial" w:cs="Arial" w:eastAsia="Arial" w:hAnsi="Arial"/>
                <w:sz w:val="22"/>
                <w:szCs w:val="22"/>
                <w:b w:val="1"/>
                <w:bCs w:val="1"/>
                <w:color w:val="1C5A7D"/>
              </w:rPr>
              <w:t>BIOGEN INC. AND SUBSIDIARIES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20" w:type="dxa"/>
            <w:vAlign w:val="bottom"/>
          </w:tcPr>
          <w:p>
            <w:pPr>
              <w:spacing w:after="0"/>
              <w:rPr>
                <w:sz w:val="24"/>
                <w:szCs w:val="24"/>
                <w:color w:val="auto"/>
              </w:rPr>
            </w:pPr>
          </w:p>
        </w:tc>
        <w:tc>
          <w:tcPr>
            <w:tcW w:w="6300" w:type="dxa"/>
            <w:vAlign w:val="bottom"/>
            <w:gridSpan w:val="6"/>
          </w:tcPr>
          <w:p>
            <w:pPr>
              <w:jc w:val="right"/>
              <w:ind w:right="28"/>
              <w:spacing w:after="0"/>
              <w:rPr>
                <w:sz w:val="20"/>
                <w:szCs w:val="20"/>
                <w:color w:val="auto"/>
              </w:rPr>
            </w:pPr>
            <w:r>
              <w:rPr>
                <w:rFonts w:ascii="Arial" w:cs="Arial" w:eastAsia="Arial" w:hAnsi="Arial"/>
                <w:sz w:val="22"/>
                <w:szCs w:val="22"/>
                <w:b w:val="1"/>
                <w:bCs w:val="1"/>
                <w:color w:val="1C5A7D"/>
              </w:rPr>
              <w:t>SELECTED FINANCIAL DATA</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4640" w:type="dxa"/>
            <w:vAlign w:val="bottom"/>
            <w:gridSpan w:val="2"/>
          </w:tcPr>
          <w:p>
            <w:pPr>
              <w:ind w:left="440"/>
              <w:spacing w:after="0"/>
              <w:rPr>
                <w:sz w:val="20"/>
                <w:szCs w:val="20"/>
                <w:color w:val="auto"/>
              </w:rPr>
            </w:pPr>
            <w:r>
              <w:rPr>
                <w:rFonts w:ascii="Arial" w:cs="Arial" w:eastAsia="Arial" w:hAnsi="Arial"/>
                <w:sz w:val="14"/>
                <w:szCs w:val="14"/>
                <w:color w:val="auto"/>
              </w:rPr>
              <w:t>Our results of operations are summarized as follows: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center"/>
              <w:ind w:left="288"/>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46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Results of Operations</w:t>
            </w:r>
          </w:p>
        </w:tc>
        <w:tc>
          <w:tcPr>
            <w:tcW w:w="100" w:type="dxa"/>
            <w:vAlign w:val="bottom"/>
            <w:shd w:val="clear" w:color="auto" w:fill="DDDDDD"/>
          </w:tcPr>
          <w:p>
            <w:pPr>
              <w:spacing w:after="0"/>
              <w:rPr>
                <w:sz w:val="15"/>
                <w:szCs w:val="15"/>
                <w:color w:val="auto"/>
              </w:rPr>
            </w:pPr>
          </w:p>
        </w:tc>
        <w:tc>
          <w:tcPr>
            <w:tcW w:w="12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Product revenues, net</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10,692.2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11,379.8</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10,886.8</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10,354.7</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9,817.9</w:t>
            </w:r>
          </w:p>
        </w:tc>
        <w:tc>
          <w:tcPr>
            <w:tcW w:w="0" w:type="dxa"/>
            <w:vAlign w:val="bottom"/>
          </w:tcPr>
          <w:p>
            <w:pPr>
              <w:spacing w:after="0"/>
              <w:rPr>
                <w:sz w:val="1"/>
                <w:szCs w:val="1"/>
                <w:color w:val="auto"/>
              </w:rPr>
            </w:pPr>
          </w:p>
        </w:tc>
      </w:tr>
      <w:tr>
        <w:trPr>
          <w:trHeight w:val="190"/>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Revenues from anti-CD20 therapeutic programs</w:t>
            </w:r>
          </w:p>
        </w:tc>
        <w:tc>
          <w:tcPr>
            <w:tcW w:w="10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2,290.4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1,980.2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Other revenues</w:t>
            </w:r>
          </w:p>
        </w:tc>
        <w:tc>
          <w:tcPr>
            <w:tcW w:w="10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774.6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707.7</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316.4</w:t>
            </w:r>
          </w:p>
        </w:tc>
        <w:tc>
          <w:tcPr>
            <w:tcW w:w="0" w:type="dxa"/>
            <w:vAlign w:val="bottom"/>
          </w:tcPr>
          <w:p>
            <w:pPr>
              <w:spacing w:after="0"/>
              <w:rPr>
                <w:sz w:val="1"/>
                <w:szCs w:val="1"/>
                <w:color w:val="auto"/>
              </w:rPr>
            </w:pPr>
          </w:p>
        </w:tc>
      </w:tr>
      <w:tr>
        <w:trPr>
          <w:trHeight w:val="183"/>
        </w:trPr>
        <w:tc>
          <w:tcPr>
            <w:tcW w:w="4640" w:type="dxa"/>
            <w:vAlign w:val="bottom"/>
            <w:gridSpan w:val="2"/>
          </w:tcPr>
          <w:p>
            <w:pPr>
              <w:ind w:left="36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13,444.6</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14,377.9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13,452.9</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12,273.9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11,448.8</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Total cost and expenses</w:t>
            </w:r>
          </w:p>
        </w:tc>
        <w:tc>
          <w:tcPr>
            <w:tcW w:w="10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8,894.5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7,335.3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7,564.3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6,928.1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6,297.1</w:t>
            </w:r>
          </w:p>
        </w:tc>
        <w:tc>
          <w:tcPr>
            <w:tcW w:w="0" w:type="dxa"/>
            <w:vAlign w:val="bottom"/>
          </w:tcPr>
          <w:p>
            <w:pPr>
              <w:spacing w:after="0"/>
              <w:rPr>
                <w:sz w:val="1"/>
                <w:szCs w:val="1"/>
                <w:color w:val="auto"/>
              </w:rPr>
            </w:pPr>
          </w:p>
        </w:tc>
      </w:tr>
      <w:tr>
        <w:trPr>
          <w:trHeight w:val="189"/>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10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4,550.1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5,888.6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5,151.7</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497.4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133"/>
        </w:trPr>
        <w:tc>
          <w:tcPr>
            <w:tcW w:w="46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Income before income tax expense and equity in loss of investee, net of</w:t>
            </w:r>
          </w:p>
        </w:tc>
        <w:tc>
          <w:tcPr>
            <w:tcW w:w="100" w:type="dxa"/>
            <w:vAlign w:val="bottom"/>
            <w:shd w:val="clear" w:color="auto" w:fill="DDDDDD"/>
          </w:tcPr>
          <w:p>
            <w:pPr>
              <w:spacing w:after="0"/>
              <w:rPr>
                <w:sz w:val="11"/>
                <w:szCs w:val="11"/>
                <w:color w:val="auto"/>
              </w:rPr>
            </w:pPr>
          </w:p>
        </w:tc>
        <w:tc>
          <w:tcPr>
            <w:tcW w:w="1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5,047.5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7,125.9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5,899.6</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5,128.8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4,933.0</w:t>
            </w:r>
          </w:p>
        </w:tc>
        <w:tc>
          <w:tcPr>
            <w:tcW w:w="0" w:type="dxa"/>
            <w:vAlign w:val="bottom"/>
          </w:tcPr>
          <w:p>
            <w:pPr>
              <w:spacing w:after="0"/>
              <w:rPr>
                <w:sz w:val="1"/>
                <w:szCs w:val="1"/>
                <w:color w:val="auto"/>
              </w:rPr>
            </w:pPr>
          </w:p>
        </w:tc>
      </w:tr>
      <w:tr>
        <w:trPr>
          <w:trHeight w:val="172"/>
        </w:trPr>
        <w:tc>
          <w:tcPr>
            <w:tcW w:w="920" w:type="dxa"/>
            <w:vAlign w:val="bottom"/>
          </w:tcPr>
          <w:p>
            <w:pPr>
              <w:ind w:left="20"/>
              <w:spacing w:after="0"/>
              <w:rPr>
                <w:sz w:val="20"/>
                <w:szCs w:val="20"/>
                <w:color w:val="auto"/>
              </w:rPr>
            </w:pPr>
            <w:r>
              <w:rPr>
                <w:rFonts w:ascii="Arial" w:cs="Arial" w:eastAsia="Arial" w:hAnsi="Arial"/>
                <w:sz w:val="14"/>
                <w:szCs w:val="14"/>
                <w:color w:val="auto"/>
              </w:rPr>
              <w:t>tax</w:t>
            </w:r>
          </w:p>
        </w:tc>
        <w:tc>
          <w:tcPr>
            <w:tcW w:w="3720" w:type="dxa"/>
            <w:vAlign w:val="bottom"/>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220" w:type="dxa"/>
            <w:vAlign w:val="bottom"/>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992.3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1,158.0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1,425.6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2,458.7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1,237.3</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Equity in loss of investee, net of tax</w:t>
            </w:r>
          </w:p>
        </w:tc>
        <w:tc>
          <w:tcPr>
            <w:tcW w:w="10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720" w:type="dxa"/>
            <w:vAlign w:val="bottom"/>
          </w:tcPr>
          <w:p>
            <w:pPr>
              <w:spacing w:after="0"/>
              <w:rPr>
                <w:sz w:val="16"/>
                <w:szCs w:val="16"/>
                <w:color w:val="auto"/>
              </w:rPr>
            </w:pPr>
          </w:p>
        </w:tc>
        <w:tc>
          <w:tcPr>
            <w:tcW w:w="100" w:type="dxa"/>
            <w:vAlign w:val="bottom"/>
            <w:tcBorders>
              <w:top w:val="single" w:sz="8" w:color="auto"/>
            </w:tcBorders>
            <w:shd w:val="clear" w:color="auto" w:fill="DDDDDD"/>
          </w:tcPr>
          <w:p>
            <w:pPr>
              <w:spacing w:after="0"/>
              <w:rPr>
                <w:sz w:val="16"/>
                <w:szCs w:val="16"/>
                <w:color w:val="auto"/>
              </w:rPr>
            </w:pPr>
          </w:p>
        </w:tc>
        <w:tc>
          <w:tcPr>
            <w:tcW w:w="12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4,060.5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5,888.5</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4,474.0</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2,670.1</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3,695.7</w:t>
            </w:r>
          </w:p>
        </w:tc>
        <w:tc>
          <w:tcPr>
            <w:tcW w:w="0" w:type="dxa"/>
            <w:vAlign w:val="bottom"/>
          </w:tcPr>
          <w:p>
            <w:pPr>
              <w:spacing w:after="0"/>
              <w:rPr>
                <w:sz w:val="1"/>
                <w:szCs w:val="1"/>
                <w:color w:val="auto"/>
              </w:rPr>
            </w:pPr>
          </w:p>
        </w:tc>
      </w:tr>
      <w:tr>
        <w:trPr>
          <w:trHeight w:val="188"/>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noncontrolling interests, net of tax</w:t>
            </w:r>
          </w:p>
        </w:tc>
        <w:tc>
          <w:tcPr>
            <w:tcW w:w="10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59.9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23"/>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Biogen Inc.</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4,000.6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5,888.5</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4,430.7</w:t>
            </w:r>
          </w:p>
        </w:tc>
        <w:tc>
          <w:tcPr>
            <w:tcW w:w="120" w:type="dxa"/>
            <w:vAlign w:val="bottom"/>
          </w:tcPr>
          <w:p>
            <w:pPr>
              <w:spacing w:after="0"/>
              <w:rPr>
                <w:sz w:val="19"/>
                <w:szCs w:val="19"/>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2,539.1</w:t>
            </w:r>
          </w:p>
        </w:tc>
        <w:tc>
          <w:tcPr>
            <w:tcW w:w="1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3,702.8</w:t>
            </w:r>
          </w:p>
        </w:tc>
        <w:tc>
          <w:tcPr>
            <w:tcW w:w="0" w:type="dxa"/>
            <w:vAlign w:val="bottom"/>
          </w:tcPr>
          <w:p>
            <w:pPr>
              <w:spacing w:after="0"/>
              <w:rPr>
                <w:sz w:val="1"/>
                <w:szCs w:val="1"/>
                <w:color w:val="auto"/>
              </w:rPr>
            </w:pPr>
          </w:p>
        </w:tc>
      </w:tr>
      <w:tr>
        <w:trPr>
          <w:trHeight w:val="412"/>
        </w:trPr>
        <w:tc>
          <w:tcPr>
            <w:tcW w:w="46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Diluted Earnings Per Share</w:t>
            </w:r>
          </w:p>
        </w:tc>
        <w:tc>
          <w:tcPr>
            <w:tcW w:w="100" w:type="dxa"/>
            <w:vAlign w:val="bottom"/>
            <w:tcBorders>
              <w:top w:val="single" w:sz="8" w:color="auto"/>
            </w:tcBorders>
            <w:shd w:val="clear" w:color="auto" w:fill="DDDDDD"/>
          </w:tcPr>
          <w:p>
            <w:pPr>
              <w:spacing w:after="0"/>
              <w:rPr>
                <w:sz w:val="24"/>
                <w:szCs w:val="24"/>
                <w:color w:val="auto"/>
              </w:rPr>
            </w:pPr>
          </w:p>
        </w:tc>
        <w:tc>
          <w:tcPr>
            <w:tcW w:w="122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Diluted earnings per share attributable to Biogen Inc.</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24.80</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31.42</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153"/>
        </w:trPr>
        <w:tc>
          <w:tcPr>
            <w:tcW w:w="46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Weighted-average shares used in calculating diluted earnings per share</w:t>
            </w:r>
          </w:p>
        </w:tc>
        <w:tc>
          <w:tcPr>
            <w:tcW w:w="100" w:type="dxa"/>
            <w:vAlign w:val="bottom"/>
            <w:shd w:val="clear" w:color="auto" w:fill="DDDDDD"/>
          </w:tcPr>
          <w:p>
            <w:pPr>
              <w:spacing w:after="0"/>
              <w:rPr>
                <w:sz w:val="13"/>
                <w:szCs w:val="13"/>
                <w:color w:val="auto"/>
              </w:rPr>
            </w:pPr>
          </w:p>
        </w:tc>
        <w:tc>
          <w:tcPr>
            <w:tcW w:w="12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161.3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187.4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attributable to Biogen Inc.</w:t>
            </w:r>
          </w:p>
        </w:tc>
        <w:tc>
          <w:tcPr>
            <w:tcW w:w="100" w:type="dxa"/>
            <w:vAlign w:val="bottom"/>
            <w:shd w:val="clear" w:color="auto" w:fill="DDDDDD"/>
          </w:tcPr>
          <w:p>
            <w:pPr>
              <w:spacing w:after="0"/>
              <w:rPr>
                <w:sz w:val="14"/>
                <w:szCs w:val="14"/>
                <w:color w:val="auto"/>
              </w:rPr>
            </w:pPr>
          </w:p>
        </w:tc>
        <w:tc>
          <w:tcPr>
            <w:tcW w:w="1220" w:type="dxa"/>
            <w:vAlign w:val="bottom"/>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7"/>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Our financial condition is summarized as follows: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46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Financial Condition</w:t>
            </w:r>
          </w:p>
        </w:tc>
        <w:tc>
          <w:tcPr>
            <w:tcW w:w="100" w:type="dxa"/>
            <w:vAlign w:val="bottom"/>
            <w:shd w:val="clear" w:color="auto" w:fill="DDDDDD"/>
          </w:tcPr>
          <w:p>
            <w:pPr>
              <w:spacing w:after="0"/>
              <w:rPr>
                <w:sz w:val="15"/>
                <w:szCs w:val="15"/>
                <w:color w:val="auto"/>
              </w:rPr>
            </w:pPr>
          </w:p>
        </w:tc>
        <w:tc>
          <w:tcPr>
            <w:tcW w:w="12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Cash, cash equivalents and marketable securities</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3,382.2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5,884.0</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4,913.9</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6,746.3</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7,724.5</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720" w:type="dxa"/>
            <w:vAlign w:val="bottom"/>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24,618.9</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27,234.3</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25,288.9</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23,652.6</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22,876.8</w:t>
            </w:r>
          </w:p>
        </w:tc>
        <w:tc>
          <w:tcPr>
            <w:tcW w:w="0" w:type="dxa"/>
            <w:vAlign w:val="bottom"/>
          </w:tcPr>
          <w:p>
            <w:pPr>
              <w:spacing w:after="0"/>
              <w:rPr>
                <w:sz w:val="1"/>
                <w:szCs w:val="1"/>
                <w:color w:val="auto"/>
              </w:rPr>
            </w:pPr>
          </w:p>
        </w:tc>
      </w:tr>
      <w:tr>
        <w:trPr>
          <w:trHeight w:val="191"/>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Notes payable, less current portion</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7,426.2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4,459.0</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5,936.5</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5,935.0</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6,512.7</w:t>
            </w:r>
          </w:p>
        </w:tc>
        <w:tc>
          <w:tcPr>
            <w:tcW w:w="0" w:type="dxa"/>
            <w:vAlign w:val="bottom"/>
          </w:tcPr>
          <w:p>
            <w:pPr>
              <w:spacing w:after="0"/>
              <w:rPr>
                <w:sz w:val="1"/>
                <w:szCs w:val="1"/>
                <w:color w:val="auto"/>
              </w:rPr>
            </w:pPr>
          </w:p>
        </w:tc>
      </w:tr>
      <w:tr>
        <w:trPr>
          <w:trHeight w:val="187"/>
        </w:trPr>
        <w:tc>
          <w:tcPr>
            <w:tcW w:w="4640" w:type="dxa"/>
            <w:vAlign w:val="bottom"/>
            <w:gridSpan w:val="2"/>
          </w:tcPr>
          <w:p>
            <w:pPr>
              <w:ind w:left="20"/>
              <w:spacing w:after="0"/>
              <w:rPr>
                <w:sz w:val="20"/>
                <w:szCs w:val="20"/>
                <w:color w:val="auto"/>
              </w:rPr>
            </w:pPr>
            <w:r>
              <w:rPr>
                <w:rFonts w:ascii="Arial" w:cs="Arial" w:eastAsia="Arial" w:hAnsi="Arial"/>
                <w:sz w:val="14"/>
                <w:szCs w:val="14"/>
                <w:color w:val="auto"/>
              </w:rPr>
              <w:t>Total Biogen Inc. shareholders’ equity</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10,700.3</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13,343.2</w:t>
            </w:r>
          </w:p>
        </w:tc>
        <w:tc>
          <w:tcPr>
            <w:tcW w:w="4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13,039.6</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12,612.8</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12,140.1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 xml:space="preserve">The financial data included within the tables above should be read in conjunction with our consolidated financial statements and related notes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this report and our previously filed Annual Reports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98" w:lineRule="auto"/>
        <w:rPr>
          <w:sz w:val="20"/>
          <w:szCs w:val="20"/>
          <w:color w:val="auto"/>
        </w:rPr>
      </w:pPr>
      <w:r>
        <w:rPr>
          <w:rFonts w:ascii="Arial" w:cs="Arial" w:eastAsia="Arial" w:hAnsi="Arial"/>
          <w:sz w:val="21"/>
          <w:szCs w:val="21"/>
          <w:b w:val="1"/>
          <w:bCs w:val="1"/>
          <w:color w:val="1C5A7D"/>
        </w:rPr>
        <w:t>Item 7. Management’s Discussion and Analysis of Financial Condition and Results of Operations</w:t>
      </w:r>
    </w:p>
    <w:p>
      <w:pPr>
        <w:spacing w:after="0" w:line="12"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accompanying notes beginning on page F-1 of this report.</w:t>
      </w:r>
    </w:p>
    <w:p>
      <w:pPr>
        <w:spacing w:after="0" w:line="8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 xml:space="preserve">For our discussion of the year ended December 31, 2019, compared to the year ended December 31, 2018, please read </w:t>
      </w:r>
      <w:r>
        <w:rPr>
          <w:rFonts w:ascii="Arial" w:cs="Arial" w:eastAsia="Arial" w:hAnsi="Arial"/>
          <w:sz w:val="18"/>
          <w:szCs w:val="18"/>
          <w:i w:val="1"/>
          <w:iCs w:val="1"/>
          <w:color w:val="auto"/>
        </w:rPr>
        <w:t xml:space="preserve">Item 7. Management's Discussion and Analysis of Financial Condition and Results of Operations </w:t>
      </w:r>
      <w:r>
        <w:rPr>
          <w:rFonts w:ascii="Arial" w:cs="Arial" w:eastAsia="Arial" w:hAnsi="Arial"/>
          <w:sz w:val="18"/>
          <w:szCs w:val="18"/>
          <w:color w:val="auto"/>
        </w:rPr>
        <w:t>located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year ended December 31, 2019.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Executive Summary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Introduction</w:t>
      </w:r>
    </w:p>
    <w:p>
      <w:pPr>
        <w:spacing w:after="0" w:line="193"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MS and neuroimmunology; Alzheimer's disease and dementia; neuromuscular disorders, including SMA and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54"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and FUMADERM for the treatment of severe plaque psoriasis.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and other potential anti-CD20 therapies pursuant to our collaboration arrangements with Genentech. 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our joint venture with Samsung BioLogics, we market and sell BENEPALI, an etanercept biosimilar referencing ENBREL, IMRALDI, an adalimumab biosimilar referencing HUMIRA, and FLIXABI, an infliximab biosimilar referencing REMICADE, in certain countries in Europe and have an option to acquire exclusive rights to commercialize these products in China. Additionally, we have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 For additional information on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9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seek to ensure an uninterrupted supply of medicines to our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which we expect to be partially operational during the first half of 2021. We believe that the Solothurn manufacturing facility will provide us with the ability to further expand if our future growth and drug development plans increase.</w:t>
      </w:r>
    </w:p>
    <w:p>
      <w:pPr>
        <w:spacing w:after="0" w:line="15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Our revenues depend upon continued sales of our products as well as the financial rights we have in our anti-CD20 therapeutic programs, and, unless we develop, acquire rights to and/or commercialize new products and technologies, we will be substantially dependent on sales from our products and our financial rights in our anti-CD20 therapeutic programs for many years.</w:t>
      </w:r>
    </w:p>
    <w:p>
      <w:pPr>
        <w:spacing w:after="0" w:line="15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249" w:lineRule="exact"/>
        <w:rPr>
          <w:sz w:val="20"/>
          <w:szCs w:val="20"/>
          <w:color w:val="auto"/>
        </w:rPr>
      </w:pPr>
    </w:p>
    <w:p>
      <w:pPr>
        <w:sectPr>
          <w:pgSz w:w="11900" w:h="16838" w:orient="portrait"/>
          <w:cols w:equalWidth="0" w:num="2">
            <w:col w:w="5220" w:space="680"/>
            <w:col w:w="5180"/>
          </w:cols>
          <w:pgMar w:left="320" w:top="144" w:right="499" w:bottom="1440" w:gutter="0" w:footer="0" w:header="0"/>
          <w:type w:val="continuous"/>
        </w:sect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 w:right="49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Business Environment</w:t>
      </w:r>
    </w:p>
    <w:p>
      <w:pPr>
        <w:spacing w:after="0" w:line="193"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 xml:space="preserve">For a detailed discussion on our business environment, please read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included in this report. For additional information on our competition and pricing risks that could negatively impact our product sales, please read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7A. Quantitative and Qualitative Disclosures About Market Risk </w:t>
      </w:r>
      <w:r>
        <w:rPr>
          <w:rFonts w:ascii="Arial" w:cs="Arial" w:eastAsia="Arial" w:hAnsi="Arial"/>
          <w:sz w:val="18"/>
          <w:szCs w:val="18"/>
          <w:color w:val="auto"/>
        </w:rPr>
        <w:t>included in this report.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TECFIDERA</w:t>
      </w:r>
    </w:p>
    <w:p>
      <w:pPr>
        <w:spacing w:after="0" w:line="13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Hatch-Waxman Act in West Virginia and Delaware. We have appealed the judgments in both actions. For additional information,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9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 xml:space="preserve">Multiple TECFIDERA generic entrants are now in the U.S. market and have deeply discounted prices compared to TECFIDERA. The generic competition for TECFIDERA significantly reduced our TECFIDERA revenues during the year ended December 31, 2020, and is expected to have a substantial negative impact on our TECFIDERA revenues for as long as there is generic competition. For additional information, please read the discussion under </w:t>
      </w:r>
      <w:r>
        <w:rPr>
          <w:rFonts w:ascii="Arial" w:cs="Arial" w:eastAsia="Arial" w:hAnsi="Arial"/>
          <w:sz w:val="18"/>
          <w:szCs w:val="18"/>
          <w:i w:val="1"/>
          <w:iCs w:val="1"/>
          <w:color w:val="auto"/>
        </w:rPr>
        <w:t>Results of Operations -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Revenues - Multiple Sclerosis (MS) - Fumarate </w:t>
      </w:r>
      <w:r>
        <w:rPr>
          <w:rFonts w:ascii="Arial" w:cs="Arial" w:eastAsia="Arial" w:hAnsi="Arial"/>
          <w:sz w:val="18"/>
          <w:szCs w:val="18"/>
          <w:color w:val="auto"/>
        </w:rPr>
        <w:t>below.</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Business Update Regarding COVID-19</w:t>
      </w:r>
    </w:p>
    <w:p>
      <w:pPr>
        <w:spacing w:after="0" w:line="13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The COVID-19 pandemic continues to present a substantial public health and economic challenge around the world. The length of time and full extent to which the COVID-19 pandemic directly or indirectly impacts our business, results of operations and financial condition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spacing w:after="0" w:line="103"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We are monitoring the demand for our products, including the duration and degree to which we may see delays in starting new patients on a product due to hospitals diverting the resources that are necessary to administer certain of our products to care for COVID-19 patients, including products, such as TYSABRI and SPINRAZA, that are administered in a physician's office or hospital setting. We may also see reduced demand for immunosuppressant therapies during the COVID-19 pandemic.</w:t>
      </w:r>
    </w:p>
    <w:p>
      <w:pPr>
        <w:spacing w:after="0" w:line="104"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While we are currently continuing the clinical trials we have underway in sites across the globe,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COVID-19 precautions have impacted the timeline for some of our clinical trials and these precautions may, directly or indirectly, have a further impact on timing in the future. For example, our Phase 3 study of BIIB093 for LHI, a severe form of ischemic stroke, has been delayed as this study involves administration of BIIB093 in an acute hospital setting. To help mitigate the impact of the COVID-19 pandemic to our clinical trials, we are pursuing innovative approaches such as remote monitoring, remote patient visits and supporting home infusions. These alternative measures have resulted in an immaterial increase to the cost of the clinical trials underway.</w:t>
      </w:r>
    </w:p>
    <w:p>
      <w:pPr>
        <w:spacing w:after="0" w:line="103" w:lineRule="exact"/>
        <w:rPr>
          <w:sz w:val="20"/>
          <w:szCs w:val="20"/>
          <w:color w:val="auto"/>
        </w:rPr>
      </w:pPr>
    </w:p>
    <w:p>
      <w:pPr>
        <w:ind w:left="380" w:right="100" w:firstLine="405"/>
        <w:spacing w:after="0" w:line="254" w:lineRule="auto"/>
        <w:rPr>
          <w:sz w:val="20"/>
          <w:szCs w:val="20"/>
          <w:color w:val="auto"/>
        </w:rPr>
      </w:pPr>
      <w:r>
        <w:rPr>
          <w:rFonts w:ascii="Arial" w:cs="Arial" w:eastAsia="Arial" w:hAnsi="Arial"/>
          <w:sz w:val="18"/>
          <w:szCs w:val="18"/>
          <w:color w:val="auto"/>
        </w:rPr>
        <w:t xml:space="preserve">For additional information on the various risks posed by the COVID-19 pandemic, please read </w:t>
      </w:r>
      <w:r>
        <w:rPr>
          <w:rFonts w:ascii="Arial" w:cs="Arial" w:eastAsia="Arial" w:hAnsi="Arial"/>
          <w:sz w:val="18"/>
          <w:szCs w:val="18"/>
          <w:i w:val="1"/>
          <w:iCs w:val="1"/>
          <w:color w:val="auto"/>
        </w:rPr>
        <w:t>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1A. Risk Factors </w:t>
      </w:r>
      <w:r>
        <w:rPr>
          <w:rFonts w:ascii="Arial" w:cs="Arial" w:eastAsia="Arial" w:hAnsi="Arial"/>
          <w:sz w:val="18"/>
          <w:szCs w:val="18"/>
          <w:color w:val="auto"/>
        </w:rPr>
        <w:t>included in this report.</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Brexit</w:t>
      </w:r>
    </w:p>
    <w:p>
      <w:pPr>
        <w:spacing w:after="0" w:line="122" w:lineRule="exact"/>
        <w:rPr>
          <w:sz w:val="20"/>
          <w:szCs w:val="20"/>
          <w:color w:val="auto"/>
        </w:rPr>
      </w:pPr>
    </w:p>
    <w:p>
      <w:pPr>
        <w:ind w:left="380" w:right="60" w:firstLine="445"/>
        <w:spacing w:after="0" w:line="256" w:lineRule="auto"/>
        <w:rPr>
          <w:sz w:val="20"/>
          <w:szCs w:val="20"/>
          <w:color w:val="auto"/>
        </w:rPr>
      </w:pPr>
      <w:r>
        <w:rPr>
          <w:rFonts w:ascii="Arial" w:cs="Arial" w:eastAsia="Arial" w:hAnsi="Arial"/>
          <w:sz w:val="18"/>
          <w:szCs w:val="18"/>
          <w:color w:val="auto"/>
        </w:rPr>
        <w:t>Effective January 31, 2020, the U.K. ceased to be a member state of the E.U., a process known as Brexit, and began a transition period, which expired on December 31, 2020.</w:t>
      </w:r>
    </w:p>
    <w:p>
      <w:pPr>
        <w:spacing w:after="0" w:line="148"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In December 2020 the U.K. and the E.U. agreed on a trade and cooperation agreement, under which the E.U. and the U.K. will now form two separate markets governed by two distinct regulatory and legal regimes. The trade and cooperation agreement covers the general objectives and framework of the relationship between the U.K. and the E.U., including as it relates to trade, transport and visas. Notably, under the trade and cooperation agreement, U.K. service suppliers no longer benefit from automatic access to the entire E.U. single market, U.K. goods no longer benefit from the free movement of goods and there is no longer the free movement of people between the U.K. and the E.U. Depending on the application of the terms of the trade and cooperation agreement, we could face new regulatory costs and challenges.</w:t>
      </w:r>
    </w:p>
    <w:p>
      <w:pPr>
        <w:spacing w:after="0" w:line="155"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We do not expect Brexit to have a material impact on our consolidated results of operations as less than 4.0% of our total product revenues in 2020, 2019 and 2018 were derived from U.K. sales. However, we cannot predict the direction Brexit-related developments will take nor the impact of those developments on our European operations and the economies of the markets where we operate. Brexit could lead to legal uncertainty and potentially divergent national laws and regulations as the U.K. determines which E.U. laws to replace or replicate, including U.K. competition laws. Therefore, we will continue to monitor for developments in this area and assess any potential impacts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Financial Highlights</w:t>
      </w:r>
    </w:p>
    <w:p>
      <w:pPr>
        <w:spacing w:after="0" w:line="193" w:lineRule="exact"/>
        <w:rPr>
          <w:sz w:val="20"/>
          <w:szCs w:val="20"/>
          <w:color w:val="auto"/>
        </w:rPr>
      </w:pPr>
    </w:p>
    <w:p>
      <w:pPr>
        <w:ind w:right="60" w:firstLine="202"/>
        <w:spacing w:after="0" w:line="256" w:lineRule="auto"/>
        <w:rPr>
          <w:sz w:val="20"/>
          <w:szCs w:val="20"/>
          <w:color w:val="auto"/>
        </w:rPr>
      </w:pPr>
      <w:r>
        <w:rPr>
          <w:rFonts w:ascii="Arial" w:cs="Arial" w:eastAsia="Arial" w:hAnsi="Arial"/>
          <w:sz w:val="18"/>
          <w:szCs w:val="18"/>
          <w:color w:val="auto"/>
        </w:rPr>
        <w:t>Diluted earnings per share attributable to Biogen Inc. were $24.80 for 2020, representing a decrease of 21.1% as compared to $31.42 in the same period in 2019.</w:t>
      </w:r>
    </w:p>
    <w:p>
      <w:pPr>
        <w:spacing w:after="0" w:line="130"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year ended December 31, 2020, compared to the year ended December 31, 2019, reflects the following: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Revenues</w:t>
      </w:r>
    </w:p>
    <w:p>
      <w:pPr>
        <w:spacing w:after="0" w:line="189" w:lineRule="exact"/>
        <w:rPr>
          <w:sz w:val="20"/>
          <w:szCs w:val="20"/>
          <w:color w:val="auto"/>
        </w:rPr>
      </w:pPr>
    </w:p>
    <w:p>
      <w:pPr>
        <w:ind w:left="420" w:right="20" w:hanging="331"/>
        <w:spacing w:after="0" w:line="256" w:lineRule="auto"/>
        <w:tabs>
          <w:tab w:leader="none" w:pos="3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revenues were $13,444.6 million for 2020, representing a decrease of 6.5% as compared to $14,377.9 million in 2019.</w:t>
      </w:r>
    </w:p>
    <w:p>
      <w:pPr>
        <w:spacing w:after="0" w:line="147" w:lineRule="exact"/>
        <w:rPr>
          <w:rFonts w:ascii="Arial" w:cs="Arial" w:eastAsia="Arial" w:hAnsi="Arial"/>
          <w:sz w:val="18"/>
          <w:szCs w:val="18"/>
          <w:color w:val="auto"/>
        </w:rPr>
      </w:pPr>
    </w:p>
    <w:p>
      <w:pPr>
        <w:ind w:left="420" w:right="20" w:hanging="331"/>
        <w:spacing w:after="0" w:line="251" w:lineRule="auto"/>
        <w:tabs>
          <w:tab w:leader="none" w:pos="3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 revenues, net totaled $10,692.2 million for 2020, representing a decrease of 6.0% as compared to $11,379.8 million in 2019. This decrease was primarily due to a $697.2 million, or 8.2%, decrease in MS product revenues and a $44.9 million, or 2.1%, decrease in revenues from SPINRAZA, partially offset by a $57.5 million, or 7.8%, increase in revenues from our biosimilar business. Product revenues, net, compared to the same period in 2019, further reflects the unfavorable impact of foreign currency exchange of $111.6 million.</w:t>
      </w:r>
    </w:p>
    <w:p>
      <w:pPr>
        <w:spacing w:after="0" w:line="157" w:lineRule="exact"/>
        <w:rPr>
          <w:rFonts w:ascii="Arial" w:cs="Arial" w:eastAsia="Arial" w:hAnsi="Arial"/>
          <w:sz w:val="18"/>
          <w:szCs w:val="18"/>
          <w:color w:val="auto"/>
        </w:rPr>
      </w:pPr>
    </w:p>
    <w:p>
      <w:pPr>
        <w:ind w:left="1060" w:right="20" w:hanging="323"/>
        <w:spacing w:after="0" w:line="253" w:lineRule="auto"/>
        <w:tabs>
          <w:tab w:leader="none" w:pos="10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decrease in MS product revenues was primarily due to a decrease in TECFIDERA demand and price as a result of multiple TECFIDERA generic entrants entering the U.S. market during the year ended December 31, 2020.</w:t>
      </w:r>
    </w:p>
    <w:p>
      <w:pPr>
        <w:spacing w:after="0" w:line="151" w:lineRule="exact"/>
        <w:rPr>
          <w:rFonts w:ascii="Arial" w:cs="Arial" w:eastAsia="Arial" w:hAnsi="Arial"/>
          <w:sz w:val="18"/>
          <w:szCs w:val="18"/>
          <w:color w:val="auto"/>
        </w:rPr>
      </w:pPr>
    </w:p>
    <w:p>
      <w:pPr>
        <w:ind w:left="360" w:hanging="271"/>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Revenues from anti-CD20 therapeutic programs totaled</w:t>
      </w:r>
    </w:p>
    <w:p>
      <w:pPr>
        <w:spacing w:after="0" w:line="9" w:lineRule="exact"/>
        <w:rPr>
          <w:sz w:val="20"/>
          <w:szCs w:val="20"/>
          <w:color w:val="auto"/>
        </w:rPr>
      </w:pPr>
    </w:p>
    <w:p>
      <w:pPr>
        <w:ind w:left="420" w:right="20"/>
        <w:spacing w:after="0" w:line="252" w:lineRule="auto"/>
        <w:rPr>
          <w:sz w:val="20"/>
          <w:szCs w:val="20"/>
          <w:color w:val="auto"/>
        </w:rPr>
      </w:pPr>
      <w:r>
        <w:rPr>
          <w:rFonts w:ascii="Arial" w:cs="Arial" w:eastAsia="Arial" w:hAnsi="Arial"/>
          <w:sz w:val="18"/>
          <w:szCs w:val="18"/>
          <w:color w:val="auto"/>
        </w:rPr>
        <w:t>$1,977.8 million for 2020, representing a decrease of 13.6% as compared to $ 2,290.4 million in 2019. This decrease was primarily due to a $490.7 million, or 31.7%, decrease in RITUXAN revenues, partially offset by a $157.9 million, or 23.0%, increase in royalty revenues on sales of OCREVUS. Sales of RITUXAN have been adversely affected primarily by the onset of biosimilars competition in the U.S.</w:t>
      </w:r>
    </w:p>
    <w:p>
      <w:pPr>
        <w:spacing w:after="0" w:line="153" w:lineRule="exact"/>
        <w:rPr>
          <w:sz w:val="20"/>
          <w:szCs w:val="20"/>
          <w:color w:val="auto"/>
        </w:rPr>
      </w:pPr>
    </w:p>
    <w:p>
      <w:pPr>
        <w:ind w:left="420" w:hanging="331"/>
        <w:spacing w:after="0" w:line="252" w:lineRule="auto"/>
        <w:tabs>
          <w:tab w:leader="none" w:pos="361" w:val="left"/>
        </w:tabs>
        <w:numPr>
          <w:ilvl w:val="0"/>
          <w:numId w:val="57"/>
        </w:numPr>
        <w:rPr>
          <w:rFonts w:ascii="Arial" w:cs="Arial" w:eastAsia="Arial" w:hAnsi="Arial"/>
          <w:sz w:val="18"/>
          <w:szCs w:val="18"/>
          <w:i w:val="1"/>
          <w:iCs w:val="1"/>
          <w:color w:val="538235"/>
        </w:rPr>
      </w:pPr>
      <w:r>
        <w:rPr>
          <w:rFonts w:ascii="Arial" w:cs="Arial" w:eastAsia="Arial" w:hAnsi="Arial"/>
          <w:sz w:val="18"/>
          <w:szCs w:val="18"/>
          <w:color w:val="auto"/>
        </w:rPr>
        <w:t>Other revenues totaled $774.6 million for 2020, representing an increase of 9.5% over $707.7 million in 2019. This increase was due to higher contract manufacturing revenues, primarily resulting from $346.2 million in revenues related to the delivery of the license for certain of our manufacturing-related intellectual property to a contract manufacturing customer.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0" w:right="80" w:hanging="334"/>
        <w:spacing w:after="0" w:line="273" w:lineRule="auto"/>
        <w:tabs>
          <w:tab w:leader="none" w:pos="7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Total cost and expenses were $8,894.5 million for 2020, representing an increase of 21.3% from $7,335.3 million in 2019. This increase was primarily due to a $1,710.3 million, or 75.0%, increase in research and development expense.</w:t>
      </w:r>
    </w:p>
    <w:p>
      <w:pPr>
        <w:spacing w:after="0" w:line="137" w:lineRule="exact"/>
        <w:rPr>
          <w:sz w:val="20"/>
          <w:szCs w:val="20"/>
          <w:color w:val="auto"/>
        </w:rPr>
      </w:pPr>
    </w:p>
    <w:p>
      <w:pPr>
        <w:ind w:left="1440" w:right="20" w:hanging="326"/>
        <w:spacing w:after="0" w:line="253" w:lineRule="auto"/>
        <w:tabs>
          <w:tab w:leader="none" w:pos="14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increase in research and development expense was primarily due to $1,893.3 million in charges recognized in connection with upfront payments associated with entering into our collaborations with Sangamo, Denali and Sage.</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1440" w:right="100" w:hanging="326"/>
        <w:spacing w:after="0" w:line="261" w:lineRule="auto"/>
        <w:tabs>
          <w:tab w:leader="none" w:pos="14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5.1% decrease in amortization and impairment of acquired intangible assets; and</w:t>
      </w:r>
    </w:p>
    <w:p>
      <w:pPr>
        <w:spacing w:after="0" w:line="143" w:lineRule="exact"/>
        <w:rPr>
          <w:rFonts w:ascii="Arial" w:cs="Arial" w:eastAsia="Arial" w:hAnsi="Arial"/>
          <w:sz w:val="18"/>
          <w:szCs w:val="18"/>
          <w:color w:val="auto"/>
        </w:rPr>
      </w:pPr>
    </w:p>
    <w:p>
      <w:pPr>
        <w:ind w:left="1440" w:right="140" w:hanging="326"/>
        <w:spacing w:after="0" w:line="256" w:lineRule="auto"/>
        <w:tabs>
          <w:tab w:leader="none" w:pos="14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$92.5 million gain recognized in 2020 associated with the divestiture of our Hillerød, Denmark manufacturing operations.</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Financial Condition, Liquidity and</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171" w:lineRule="exact"/>
        <w:rPr>
          <w:sz w:val="20"/>
          <w:szCs w:val="20"/>
          <w:color w:val="auto"/>
        </w:rPr>
      </w:pPr>
    </w:p>
    <w:p>
      <w:pPr>
        <w:ind w:left="800" w:right="620" w:hanging="334"/>
        <w:spacing w:after="0" w:line="261" w:lineRule="auto"/>
        <w:tabs>
          <w:tab w:leader="none" w:pos="7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generated $4,229.8 million of net cash flows from operations for 2020.</w:t>
      </w:r>
    </w:p>
    <w:p>
      <w:pPr>
        <w:spacing w:after="0" w:line="143" w:lineRule="exact"/>
        <w:rPr>
          <w:rFonts w:ascii="Arial" w:cs="Arial" w:eastAsia="Arial" w:hAnsi="Arial"/>
          <w:sz w:val="18"/>
          <w:szCs w:val="18"/>
          <w:color w:val="auto"/>
        </w:rPr>
      </w:pPr>
    </w:p>
    <w:p>
      <w:pPr>
        <w:jc w:val="both"/>
        <w:ind w:left="800" w:right="260" w:hanging="334"/>
        <w:spacing w:after="0" w:line="291" w:lineRule="auto"/>
        <w:tabs>
          <w:tab w:leader="none" w:pos="7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Cash, cash equivalents and marketable securities totaled approximately $3,382.2 million as of December 31, 2020.</w:t>
      </w:r>
    </w:p>
    <w:p>
      <w:pPr>
        <w:spacing w:after="0" w:line="119" w:lineRule="exact"/>
        <w:rPr>
          <w:rFonts w:ascii="Arial" w:cs="Arial" w:eastAsia="Arial" w:hAnsi="Arial"/>
          <w:sz w:val="17"/>
          <w:szCs w:val="17"/>
          <w:color w:val="auto"/>
        </w:rPr>
      </w:pPr>
    </w:p>
    <w:p>
      <w:pPr>
        <w:ind w:left="800" w:right="300" w:hanging="334"/>
        <w:spacing w:after="0" w:line="254" w:lineRule="auto"/>
        <w:tabs>
          <w:tab w:leader="none" w:pos="7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repurchased and retired approximately 22.4 million shares of our common stock at a cost of approximately $6.7 billion during 2020 under our 2020, December 2019 and March 2019 Share Repurchase Programs.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Acquisitions, Collaborative and Other Relationships</w:t>
      </w:r>
    </w:p>
    <w:p>
      <w:pPr>
        <w:spacing w:after="0" w:line="126" w:lineRule="exact"/>
        <w:rPr>
          <w:sz w:val="20"/>
          <w:szCs w:val="20"/>
          <w:color w:val="auto"/>
        </w:rPr>
      </w:pPr>
    </w:p>
    <w:p>
      <w:pPr>
        <w:ind w:left="380" w:firstLine="405"/>
        <w:spacing w:after="0" w:line="253" w:lineRule="auto"/>
        <w:rPr>
          <w:sz w:val="20"/>
          <w:szCs w:val="20"/>
          <w:color w:val="auto"/>
        </w:rPr>
      </w:pPr>
      <w:r>
        <w:rPr>
          <w:rFonts w:ascii="Arial" w:cs="Arial" w:eastAsia="Arial" w:hAnsi="Arial"/>
          <w:sz w:val="18"/>
          <w:szCs w:val="18"/>
          <w:color w:val="auto"/>
        </w:rPr>
        <w:t xml:space="preserve">For additional information on our acquisitions, collaborative and other relationships discussed below,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w:t>
      </w:r>
      <w:r>
        <w:rPr>
          <w:rFonts w:ascii="Arial" w:cs="Arial" w:eastAsia="Arial" w:hAnsi="Arial"/>
          <w:sz w:val="18"/>
          <w:szCs w:val="18"/>
          <w:i w:val="1"/>
          <w:iCs w:val="1"/>
          <w:color w:val="auto"/>
        </w:rPr>
        <w:t xml:space="preserve"> Note 18,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w:t>
      </w:r>
      <w:r>
        <w:rPr>
          <w:rFonts w:ascii="Arial" w:cs="Arial" w:eastAsia="Arial" w:hAnsi="Arial"/>
          <w:sz w:val="18"/>
          <w:szCs w:val="18"/>
          <w:color w:val="auto"/>
        </w:rPr>
        <w: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538235"/>
        </w:rPr>
        <w:t>BIIB118 Acquisition</w:t>
      </w:r>
    </w:p>
    <w:p>
      <w:pPr>
        <w:spacing w:after="0" w:line="135" w:lineRule="exact"/>
        <w:rPr>
          <w:sz w:val="20"/>
          <w:szCs w:val="20"/>
          <w:color w:val="auto"/>
        </w:rPr>
      </w:pPr>
    </w:p>
    <w:p>
      <w:pPr>
        <w:ind w:left="380" w:right="140" w:firstLine="445"/>
        <w:spacing w:after="0" w:line="252" w:lineRule="auto"/>
        <w:rPr>
          <w:sz w:val="20"/>
          <w:szCs w:val="20"/>
          <w:color w:val="auto"/>
        </w:rPr>
      </w:pPr>
      <w:r>
        <w:rPr>
          <w:rFonts w:ascii="Arial" w:cs="Arial" w:eastAsia="Arial" w:hAnsi="Arial"/>
          <w:sz w:val="18"/>
          <w:szCs w:val="18"/>
          <w:color w:val="auto"/>
        </w:rPr>
        <w:t>In March 2020 we acquired BIIB118, a novel CNS-penetrant small molecule inhibitor of casein kinase 1, for the potential treatment of patients with behavioral and neurological symptoms across various psychiatric and neurological diseases from Pfizer. We are developing BIIB118 for the potential treatment of ISWRD in Parkinson’s disease and plan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BIIB118 for the potential treatment of sundowning in Alzheimer's disease.</w:t>
      </w:r>
    </w:p>
    <w:p>
      <w:pPr>
        <w:spacing w:after="0" w:line="90"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 xml:space="preserve">For additional information on our acquisition of BIIB118,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consolidated financial statements included in this report</w:t>
      </w:r>
      <w:r>
        <w:rPr>
          <w:rFonts w:ascii="Arial" w:cs="Arial" w:eastAsia="Arial" w:hAnsi="Arial"/>
          <w:sz w:val="18"/>
          <w:szCs w:val="18"/>
          <w:i w:val="1"/>
          <w:iCs w:val="1"/>
          <w:color w:val="auto"/>
        </w:rPr>
        <w: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Sangamo Therapeutics, Inc.</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April 2020 we closed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w:t>
      </w:r>
    </w:p>
    <w:p>
      <w:pPr>
        <w:spacing w:after="0" w:line="9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Sangamo,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Denali Therapeutics Inc.</w:t>
      </w:r>
    </w:p>
    <w:p>
      <w:pPr>
        <w:spacing w:after="0" w:line="13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 October 2020 we closed a collaboration and license agreement with Denali to co-develop and co-commercialize Denali's small molecule inhibitors of LRRK2 for Parkinson's disease. In addition to the LRRK2 program, we also have an exclusive option to license two preclinical programs from Denali’s Transport Vehicle platform, including its Antibody Transport Vehicle: Abeta program and a second program utilizing its Transport Vehicle technology. Further, we have a right of first negotiation on two additional Transport Vehicle-enabled therapeutics, should Denali decide to seek a collaboration for such programs.</w:t>
      </w:r>
    </w:p>
    <w:p>
      <w:pPr>
        <w:spacing w:after="0" w:line="10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Denali,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Sage Therapeutics, Inc.</w:t>
      </w:r>
    </w:p>
    <w:p>
      <w:pPr>
        <w:spacing w:after="0" w:line="135"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In December 2020 we closed a global collaboration and license agreement with Sage to jointly develop and commercialize zuranolone for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20"/>
        <w:spacing w:after="0" w:line="254" w:lineRule="auto"/>
        <w:rPr>
          <w:sz w:val="20"/>
          <w:szCs w:val="20"/>
          <w:color w:val="auto"/>
        </w:rPr>
      </w:pPr>
      <w:r>
        <w:rPr>
          <w:rFonts w:ascii="Arial" w:cs="Arial" w:eastAsia="Arial" w:hAnsi="Arial"/>
          <w:sz w:val="18"/>
          <w:szCs w:val="18"/>
          <w:color w:val="auto"/>
        </w:rPr>
        <w:t>potential treatment of major depressive disorder, postpartum depression and other psychiatric disorders and SAGE-324 for the potential treatment of essential tremor and other neurological disorders.</w:t>
      </w:r>
    </w:p>
    <w:p>
      <w:pPr>
        <w:spacing w:after="0" w:line="96" w:lineRule="exact"/>
        <w:rPr>
          <w:sz w:val="20"/>
          <w:szCs w:val="20"/>
          <w:color w:val="auto"/>
        </w:rPr>
      </w:pPr>
    </w:p>
    <w:p>
      <w:pPr>
        <w:ind w:left="380" w:right="8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Other Key Developments</w:t>
      </w:r>
    </w:p>
    <w:p>
      <w:pPr>
        <w:spacing w:after="0" w:line="9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Aducanumab (AB mAb)</w:t>
      </w:r>
    </w:p>
    <w:p>
      <w:pPr>
        <w:spacing w:after="0" w:line="135" w:lineRule="exact"/>
        <w:rPr>
          <w:sz w:val="20"/>
          <w:szCs w:val="20"/>
          <w:color w:val="auto"/>
        </w:rPr>
      </w:pPr>
    </w:p>
    <w:p>
      <w:pPr>
        <w:ind w:left="380" w:right="60" w:firstLine="445"/>
        <w:spacing w:after="0" w:line="251" w:lineRule="auto"/>
        <w:rPr>
          <w:sz w:val="20"/>
          <w:szCs w:val="20"/>
          <w:color w:val="auto"/>
        </w:rPr>
      </w:pPr>
      <w:r>
        <w:rPr>
          <w:rFonts w:ascii="Arial" w:cs="Arial" w:eastAsia="Arial" w:hAnsi="Arial"/>
          <w:sz w:val="18"/>
          <w:szCs w:val="18"/>
          <w:color w:val="auto"/>
        </w:rPr>
        <w:t>In July 2020 we completed the submission of a BLA for the approval of aducanumab to the FDA. In August 2020 the FDA accepted the BLA and granted Priority Review with a PDUFA action date on March 7, 2021. In November 2020 the FDA held a virtual meeting of the Advisory Committee to review data supporting the BLA for aducanumab and to vote on questions presented at the meeting. A majority of the Advisory Committee members voted against each of the questions presented at the meeting.</w:t>
      </w:r>
    </w:p>
    <w:p>
      <w:pPr>
        <w:spacing w:after="0" w:line="104"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In January 2021 the FDA extended the review period for the BLA for aducanumab by three months. The updated PDUFA action date is June 7, 2021. As part of the ongoing review, we submitted a response to an information request by the FDA, including additional analyses and clinical data, which the FDA considered a Major Amendment to the application that will require additional time for review.</w:t>
      </w:r>
    </w:p>
    <w:p>
      <w:pPr>
        <w:spacing w:after="0" w:line="99" w:lineRule="exact"/>
        <w:rPr>
          <w:sz w:val="20"/>
          <w:szCs w:val="20"/>
          <w:color w:val="auto"/>
        </w:rPr>
      </w:pPr>
    </w:p>
    <w:p>
      <w:pPr>
        <w:ind w:left="380" w:right="120" w:firstLine="445"/>
        <w:spacing w:after="0" w:line="261" w:lineRule="auto"/>
        <w:rPr>
          <w:sz w:val="20"/>
          <w:szCs w:val="20"/>
          <w:color w:val="auto"/>
        </w:rPr>
      </w:pPr>
      <w:r>
        <w:rPr>
          <w:rFonts w:ascii="Arial" w:cs="Arial" w:eastAsia="Arial" w:hAnsi="Arial"/>
          <w:sz w:val="18"/>
          <w:szCs w:val="18"/>
          <w:color w:val="auto"/>
        </w:rPr>
        <w:t>In October 2020 the EMA accepted for review the MAA for aducanumab.</w:t>
      </w:r>
    </w:p>
    <w:p>
      <w:pPr>
        <w:spacing w:after="0" w:line="90" w:lineRule="exact"/>
        <w:rPr>
          <w:sz w:val="20"/>
          <w:szCs w:val="20"/>
          <w:color w:val="auto"/>
        </w:rPr>
      </w:pPr>
    </w:p>
    <w:p>
      <w:pPr>
        <w:ind w:left="380" w:right="80" w:firstLine="445"/>
        <w:spacing w:after="0" w:line="256" w:lineRule="auto"/>
        <w:rPr>
          <w:sz w:val="20"/>
          <w:szCs w:val="20"/>
          <w:color w:val="auto"/>
        </w:rPr>
      </w:pPr>
      <w:r>
        <w:rPr>
          <w:rFonts w:ascii="Arial" w:cs="Arial" w:eastAsia="Arial" w:hAnsi="Arial"/>
          <w:sz w:val="18"/>
          <w:szCs w:val="18"/>
          <w:color w:val="auto"/>
        </w:rPr>
        <w:t>In December 2020 the Ministry of Health, Labor and Welfare accepted for review the Japanese New Drug Application for aducanumab.</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2020 Share Repurchase Program</w:t>
      </w:r>
    </w:p>
    <w:p>
      <w:pPr>
        <w:spacing w:after="0" w:line="135"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are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8"/>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shd w:val="clear" w:color="auto" w:fill="DBDBDB"/>
          </w:tcPr>
          <w:p>
            <w:pPr>
              <w:jc w:val="right"/>
              <w:ind w:right="248"/>
              <w:spacing w:after="0"/>
              <w:rPr>
                <w:sz w:val="20"/>
                <w:szCs w:val="20"/>
                <w:color w:val="auto"/>
              </w:rPr>
            </w:pPr>
            <w:r>
              <w:rPr>
                <w:rFonts w:ascii="Arial" w:cs="Arial" w:eastAsia="Arial" w:hAnsi="Arial"/>
                <w:sz w:val="14"/>
                <w:szCs w:val="14"/>
                <w:b w:val="1"/>
                <w:bCs w:val="1"/>
                <w:color w:val="026DCE"/>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268"/>
              <w:spacing w:after="0"/>
              <w:rPr>
                <w:sz w:val="20"/>
                <w:szCs w:val="20"/>
                <w:color w:val="auto"/>
              </w:rPr>
            </w:pPr>
            <w:r>
              <w:rPr>
                <w:rFonts w:ascii="Arial" w:cs="Arial" w:eastAsia="Arial" w:hAnsi="Arial"/>
                <w:sz w:val="14"/>
                <w:szCs w:val="14"/>
                <w:b w:val="1"/>
                <w:bCs w:val="1"/>
                <w:color w:val="026DCE"/>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DBDBDB"/>
            </w:tcBorders>
            <w:vMerge w:val="restart"/>
            <w:shd w:val="clear" w:color="auto" w:fill="DBDBDB"/>
          </w:tcPr>
          <w:p>
            <w:pPr>
              <w:jc w:val="right"/>
              <w:ind w:right="308"/>
              <w:spacing w:after="0" w:line="122"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restart"/>
          </w:tcPr>
          <w:p>
            <w:pPr>
              <w:ind w:left="80"/>
              <w:spacing w:after="0" w:line="122" w:lineRule="exact"/>
              <w:rPr>
                <w:sz w:val="20"/>
                <w:szCs w:val="20"/>
                <w:color w:val="auto"/>
              </w:rPr>
            </w:pPr>
            <w:r>
              <w:rPr>
                <w:rFonts w:ascii="Arial" w:cs="Arial" w:eastAsia="Arial" w:hAnsi="Arial"/>
                <w:sz w:val="14"/>
                <w:szCs w:val="14"/>
                <w:b w:val="1"/>
                <w:bCs w:val="1"/>
                <w:color w:val="auto"/>
              </w:rPr>
              <w:t>vs.</w:t>
            </w:r>
          </w:p>
        </w:tc>
        <w:tc>
          <w:tcPr>
            <w:tcW w:w="220" w:type="dxa"/>
            <w:vAlign w:val="bottom"/>
            <w:tcBorders>
              <w:bottom w:val="single" w:sz="8" w:color="DBDBDB"/>
            </w:tcBorders>
            <w:shd w:val="clear" w:color="auto" w:fill="DBDBDB"/>
          </w:tcPr>
          <w:p>
            <w:pPr>
              <w:spacing w:after="0"/>
              <w:rPr>
                <w:sz w:val="3"/>
                <w:szCs w:val="3"/>
                <w:color w:val="auto"/>
              </w:rPr>
            </w:pPr>
          </w:p>
        </w:tc>
        <w:tc>
          <w:tcPr>
            <w:tcW w:w="780" w:type="dxa"/>
            <w:vAlign w:val="bottom"/>
            <w:tcBorders>
              <w:bottom w:val="single" w:sz="8" w:color="DBDBDB"/>
            </w:tcBorders>
            <w:vMerge w:val="restart"/>
            <w:shd w:val="clear" w:color="auto" w:fill="DBDBDB"/>
          </w:tcPr>
          <w:p>
            <w:pPr>
              <w:jc w:val="right"/>
              <w:ind w:right="328"/>
              <w:spacing w:after="0" w:line="122"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restart"/>
          </w:tcPr>
          <w:p>
            <w:pPr>
              <w:jc w:val="right"/>
              <w:ind w:right="328"/>
              <w:spacing w:after="0" w:line="122"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61"/>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vMerge w:val="restart"/>
          </w:tcPr>
          <w:p>
            <w:pPr>
              <w:spacing w:after="0"/>
              <w:rPr>
                <w:sz w:val="5"/>
                <w:szCs w:val="5"/>
                <w:color w:val="auto"/>
              </w:rPr>
            </w:pPr>
          </w:p>
        </w:tc>
        <w:tc>
          <w:tcPr>
            <w:tcW w:w="220" w:type="dxa"/>
            <w:vAlign w:val="bottom"/>
            <w:shd w:val="clear" w:color="auto" w:fill="DDDDDD"/>
          </w:tcPr>
          <w:p>
            <w:pPr>
              <w:spacing w:after="0"/>
              <w:rPr>
                <w:sz w:val="5"/>
                <w:szCs w:val="5"/>
                <w:color w:val="auto"/>
              </w:rPr>
            </w:pPr>
          </w:p>
        </w:tc>
        <w:tc>
          <w:tcPr>
            <w:tcW w:w="780" w:type="dxa"/>
            <w:vAlign w:val="bottom"/>
            <w:vMerge w:val="restart"/>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960" w:type="dxa"/>
            <w:vAlign w:val="bottom"/>
            <w:vMerge w:val="continue"/>
            <w:shd w:val="clear" w:color="auto" w:fill="DBDBDB"/>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shd w:val="clear" w:color="auto" w:fill="DBDBDB"/>
          </w:tcPr>
          <w:p>
            <w:pPr>
              <w:spacing w:after="0"/>
              <w:rPr>
                <w:sz w:val="5"/>
                <w:szCs w:val="5"/>
                <w:color w:val="auto"/>
              </w:rPr>
            </w:pPr>
          </w:p>
        </w:tc>
        <w:tc>
          <w:tcPr>
            <w:tcW w:w="780" w:type="dxa"/>
            <w:vAlign w:val="bottom"/>
            <w:vMerge w:val="continue"/>
            <w:shd w:val="clear" w:color="auto" w:fill="DBDBDB"/>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780" w:type="dxa"/>
            <w:vAlign w:val="bottom"/>
            <w:tcBorders>
              <w:bottom w:val="single" w:sz="8" w:color="auto"/>
            </w:tcBorders>
            <w:vMerge w:val="continue"/>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026DCE"/>
              </w:rPr>
              <w:t>2019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26DCE"/>
              </w:rPr>
              <w:t>2019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Product revenues, net:</w:t>
            </w:r>
          </w:p>
        </w:tc>
        <w:tc>
          <w:tcPr>
            <w:tcW w:w="22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5,900.1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6,713.8</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6,800.5</w:t>
            </w:r>
          </w:p>
        </w:tc>
        <w:tc>
          <w:tcPr>
            <w:tcW w:w="120" w:type="dxa"/>
            <w:vAlign w:val="bottom"/>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26DCE"/>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(813.7)</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4,792.1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4,666.0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4,086.3</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2573BA"/>
              </w:rPr>
              <w:t>2.7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126.1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184"/>
        </w:trPr>
        <w:tc>
          <w:tcPr>
            <w:tcW w:w="3660" w:type="dxa"/>
            <w:vAlign w:val="bottom"/>
            <w:gridSpan w:val="2"/>
          </w:tcPr>
          <w:p>
            <w:pPr>
              <w:ind w:left="360"/>
              <w:spacing w:after="0"/>
              <w:rPr>
                <w:sz w:val="20"/>
                <w:szCs w:val="20"/>
                <w:color w:val="auto"/>
              </w:rPr>
            </w:pPr>
            <w:r>
              <w:rPr>
                <w:rFonts w:ascii="Arial" w:cs="Arial" w:eastAsia="Arial" w:hAnsi="Arial"/>
                <w:sz w:val="14"/>
                <w:szCs w:val="14"/>
                <w:color w:val="auto"/>
              </w:rPr>
              <w:t>Total product revenues, net</w:t>
            </w: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10,692.2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11,379.8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10,886.8</w:t>
            </w: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2573BA"/>
              </w:rPr>
              <w:t>(6.0)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(687.6)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189"/>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Revenues from anti-CD20 therapeutic programs</w:t>
            </w: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1,980.2</w:t>
            </w: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2573BA"/>
              </w:rPr>
              <w:t>(13.6)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(312.6)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310.2</w:t>
            </w:r>
          </w:p>
        </w:tc>
        <w:tc>
          <w:tcPr>
            <w:tcW w:w="0" w:type="dxa"/>
            <w:vAlign w:val="bottom"/>
          </w:tcPr>
          <w:p>
            <w:pPr>
              <w:spacing w:after="0"/>
              <w:rPr>
                <w:sz w:val="1"/>
                <w:szCs w:val="1"/>
                <w:color w:val="auto"/>
              </w:rPr>
            </w:pPr>
          </w:p>
        </w:tc>
      </w:tr>
      <w:tr>
        <w:trPr>
          <w:trHeight w:val="18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Other revenues</w:t>
            </w: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774.6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585.9</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2573BA"/>
              </w:rPr>
              <w:t>9.5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66.9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03"/>
        </w:trPr>
        <w:tc>
          <w:tcPr>
            <w:tcW w:w="3660" w:type="dxa"/>
            <w:vAlign w:val="bottom"/>
            <w:gridSpan w:val="2"/>
          </w:tcPr>
          <w:p>
            <w:pPr>
              <w:ind w:left="360"/>
              <w:spacing w:after="0"/>
              <w:rPr>
                <w:sz w:val="20"/>
                <w:szCs w:val="20"/>
                <w:color w:val="auto"/>
              </w:rPr>
            </w:pPr>
            <w:r>
              <w:rPr>
                <w:rFonts w:ascii="Arial" w:cs="Arial" w:eastAsia="Arial" w:hAnsi="Arial"/>
                <w:sz w:val="14"/>
                <w:szCs w:val="14"/>
                <w:color w:val="auto"/>
              </w:rPr>
              <w:t>Total revenues</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13,444.6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14,377.9</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13,452.9</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2573BA"/>
              </w:rPr>
              <w:t>(6.5)%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26DCE"/>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(933.3)</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-770890</wp:posOffset>
            </wp:positionV>
            <wp:extent cx="608965" cy="7543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8965" cy="75438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Product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revenues are summarized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shd w:val="clear" w:color="auto" w:fill="DBDBDB"/>
          </w:tcPr>
          <w:p>
            <w:pPr>
              <w:jc w:val="right"/>
              <w:ind w:right="88"/>
              <w:spacing w:after="0" w:line="142" w:lineRule="exact"/>
              <w:rPr>
                <w:sz w:val="20"/>
                <w:szCs w:val="20"/>
                <w:color w:val="auto"/>
              </w:rPr>
            </w:pPr>
            <w:r>
              <w:rPr>
                <w:rFonts w:ascii="Arial" w:cs="Arial" w:eastAsia="Arial" w:hAnsi="Arial"/>
                <w:sz w:val="14"/>
                <w:szCs w:val="14"/>
                <w:b w:val="1"/>
                <w:bCs w:val="1"/>
                <w:color w:val="026DCE"/>
              </w:rPr>
              <w:t>2020</w:t>
            </w:r>
          </w:p>
        </w:tc>
        <w:tc>
          <w:tcPr>
            <w:tcW w:w="160" w:type="dxa"/>
            <w:vAlign w:val="bottom"/>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780" w:type="dxa"/>
            <w:vAlign w:val="bottom"/>
            <w:shd w:val="clear" w:color="auto" w:fill="DBDBDB"/>
          </w:tcPr>
          <w:p>
            <w:pPr>
              <w:jc w:val="right"/>
              <w:ind w:right="268"/>
              <w:spacing w:after="0" w:line="142" w:lineRule="exact"/>
              <w:rPr>
                <w:sz w:val="20"/>
                <w:szCs w:val="20"/>
                <w:color w:val="auto"/>
              </w:rPr>
            </w:pPr>
            <w:r>
              <w:rPr>
                <w:rFonts w:ascii="Arial" w:cs="Arial" w:eastAsia="Arial" w:hAnsi="Arial"/>
                <w:sz w:val="14"/>
                <w:szCs w:val="14"/>
                <w:b w:val="1"/>
                <w:bCs w:val="1"/>
                <w:color w:val="026DCE"/>
              </w:rPr>
              <w:t>2020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5"/>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960" w:type="dxa"/>
            <w:vAlign w:val="bottom"/>
            <w:gridSpan w:val="2"/>
            <w:shd w:val="clear" w:color="auto" w:fill="DBDBDB"/>
          </w:tcPr>
          <w:p>
            <w:pPr>
              <w:jc w:val="right"/>
              <w:ind w:right="380"/>
              <w:spacing w:after="0" w:line="115" w:lineRule="exact"/>
              <w:rPr>
                <w:sz w:val="20"/>
                <w:szCs w:val="20"/>
                <w:color w:val="auto"/>
              </w:rPr>
            </w:pPr>
            <w:r>
              <w:rPr>
                <w:rFonts w:ascii="Arial" w:cs="Arial" w:eastAsia="Arial" w:hAnsi="Arial"/>
                <w:sz w:val="13"/>
                <w:szCs w:val="13"/>
                <w:b w:val="1"/>
                <w:bCs w:val="1"/>
                <w:color w:val="026DCE"/>
              </w:rPr>
              <w:t>vs.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80"/>
              <w:spacing w:after="0" w:line="115" w:lineRule="exact"/>
              <w:rPr>
                <w:sz w:val="20"/>
                <w:szCs w:val="20"/>
                <w:color w:val="auto"/>
              </w:rPr>
            </w:pPr>
            <w:r>
              <w:rPr>
                <w:rFonts w:ascii="Arial" w:cs="Arial" w:eastAsia="Arial" w:hAnsi="Arial"/>
                <w:sz w:val="13"/>
                <w:szCs w:val="13"/>
                <w:b w:val="1"/>
                <w:bCs w:val="1"/>
                <w:color w:val="auto"/>
              </w:rPr>
              <w:t>vs.</w:t>
            </w:r>
          </w:p>
        </w:tc>
        <w:tc>
          <w:tcPr>
            <w:tcW w:w="220" w:type="dxa"/>
            <w:vAlign w:val="bottom"/>
            <w:shd w:val="clear" w:color="auto" w:fill="DBDBDB"/>
          </w:tcPr>
          <w:p>
            <w:pPr>
              <w:spacing w:after="0"/>
              <w:rPr>
                <w:sz w:val="10"/>
                <w:szCs w:val="10"/>
                <w:color w:val="auto"/>
              </w:rPr>
            </w:pPr>
          </w:p>
        </w:tc>
        <w:tc>
          <w:tcPr>
            <w:tcW w:w="780" w:type="dxa"/>
            <w:vAlign w:val="bottom"/>
            <w:shd w:val="clear" w:color="auto" w:fill="DBDBDB"/>
          </w:tcPr>
          <w:p>
            <w:pPr>
              <w:jc w:val="right"/>
              <w:ind w:right="328"/>
              <w:spacing w:after="0" w:line="115" w:lineRule="exact"/>
              <w:rPr>
                <w:sz w:val="20"/>
                <w:szCs w:val="20"/>
                <w:color w:val="auto"/>
              </w:rPr>
            </w:pPr>
            <w:r>
              <w:rPr>
                <w:rFonts w:ascii="Arial" w:cs="Arial" w:eastAsia="Arial" w:hAnsi="Arial"/>
                <w:sz w:val="13"/>
                <w:szCs w:val="13"/>
                <w:b w:val="1"/>
                <w:bCs w:val="1"/>
                <w:color w:val="026DCE"/>
              </w:rPr>
              <w:t>vs.</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jc w:val="right"/>
              <w:ind w:right="328"/>
              <w:spacing w:after="0" w:line="115" w:lineRule="exact"/>
              <w:rPr>
                <w:sz w:val="20"/>
                <w:szCs w:val="20"/>
                <w:color w:val="auto"/>
              </w:rPr>
            </w:pPr>
            <w:r>
              <w:rPr>
                <w:rFonts w:ascii="Arial" w:cs="Arial" w:eastAsia="Arial" w:hAnsi="Arial"/>
                <w:sz w:val="13"/>
                <w:szCs w:val="13"/>
                <w:b w:val="1"/>
                <w:bCs w:val="1"/>
                <w:color w:val="auto"/>
              </w:rPr>
              <w:t>vs.</w:t>
            </w:r>
          </w:p>
        </w:tc>
        <w:tc>
          <w:tcPr>
            <w:tcW w:w="0" w:type="dxa"/>
            <w:vAlign w:val="bottom"/>
          </w:tcPr>
          <w:p>
            <w:pPr>
              <w:spacing w:after="0"/>
              <w:rPr>
                <w:sz w:val="1"/>
                <w:szCs w:val="1"/>
                <w:color w:val="auto"/>
              </w:rPr>
            </w:pPr>
          </w:p>
        </w:tc>
      </w:tr>
      <w:tr>
        <w:trPr>
          <w:trHeight w:val="17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5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2020</w:t>
            </w:r>
          </w:p>
        </w:tc>
        <w:tc>
          <w:tcPr>
            <w:tcW w:w="280" w:type="dxa"/>
            <w:vAlign w:val="bottom"/>
            <w:tcBorders>
              <w:top w:val="single" w:sz="8" w:color="auto"/>
              <w:bottom w:val="single" w:sz="8" w:color="auto"/>
            </w:tcBorders>
            <w:shd w:val="clear" w:color="auto" w:fill="DDDDDD"/>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800" w:type="dxa"/>
            <w:vAlign w:val="bottom"/>
            <w:tcBorders>
              <w:top w:val="single" w:sz="8" w:color="DBDBDB"/>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b w:val="1"/>
                <w:bCs w:val="1"/>
                <w:color w:val="026DCE"/>
              </w:rPr>
              <w:t>2019</w:t>
            </w:r>
          </w:p>
        </w:tc>
        <w:tc>
          <w:tcPr>
            <w:tcW w:w="160" w:type="dxa"/>
            <w:vAlign w:val="bottom"/>
            <w:tcBorders>
              <w:top w:val="single" w:sz="8" w:color="DBDBDB"/>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Borders>
              <w:top w:val="single" w:sz="8" w:color="DBDBDB"/>
              <w:bottom w:val="single" w:sz="8" w:color="auto"/>
            </w:tcBorders>
            <w:shd w:val="clear" w:color="auto" w:fill="DBDBDB"/>
          </w:tcPr>
          <w:p>
            <w:pPr>
              <w:spacing w:after="0"/>
              <w:rPr>
                <w:sz w:val="15"/>
                <w:szCs w:val="15"/>
                <w:color w:val="auto"/>
              </w:rPr>
            </w:pPr>
          </w:p>
        </w:tc>
        <w:tc>
          <w:tcPr>
            <w:tcW w:w="780" w:type="dxa"/>
            <w:vAlign w:val="bottom"/>
            <w:tcBorders>
              <w:top w:val="single" w:sz="8" w:color="DBDBDB"/>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26DCE"/>
              </w:rPr>
              <w:t>2019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220" w:type="dxa"/>
            <w:vAlign w:val="bottom"/>
            <w:shd w:val="clear" w:color="auto" w:fill="DDDDDD"/>
          </w:tcPr>
          <w:p>
            <w:pPr>
              <w:spacing w:after="0"/>
              <w:rPr>
                <w:sz w:val="15"/>
                <w:szCs w:val="15"/>
                <w:color w:val="auto"/>
              </w:rPr>
            </w:pPr>
          </w:p>
        </w:tc>
        <w:tc>
          <w:tcPr>
            <w:tcW w:w="50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Fumarate*</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3,905.4</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4,438.2</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4,274.1</w:t>
            </w:r>
          </w:p>
        </w:tc>
        <w:tc>
          <w:tcPr>
            <w:tcW w:w="120" w:type="dxa"/>
            <w:vAlign w:val="bottom"/>
          </w:tcPr>
          <w:p>
            <w:pPr>
              <w:spacing w:after="0"/>
              <w:rPr>
                <w:sz w:val="16"/>
                <w:szCs w:val="16"/>
                <w:color w:val="auto"/>
              </w:rPr>
            </w:pPr>
          </w:p>
        </w:tc>
        <w:tc>
          <w:tcPr>
            <w:tcW w:w="9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2573BA"/>
              </w:rPr>
              <w:t>(12.0)%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(532.8)</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90"/>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Interferon**</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1,877.5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2,363.0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573BA"/>
              </w:rPr>
              <w:t>(10.7)</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(224.3)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(261.2)</w:t>
            </w: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1,946.1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1,864.0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573BA"/>
              </w:rPr>
              <w:t>2.8</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103.1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573BA"/>
              </w:rPr>
              <w:t>6.2</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ZINBRYTA</w:t>
            </w:r>
          </w:p>
        </w:tc>
        <w:tc>
          <w:tcPr>
            <w:tcW w:w="2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2"/>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Subtotal: MS product revenues</w:t>
            </w:r>
          </w:p>
        </w:tc>
        <w:tc>
          <w:tcPr>
            <w:tcW w:w="220" w:type="dxa"/>
            <w:vAlign w:val="bottom"/>
            <w:tcBorders>
              <w:top w:val="single" w:sz="8" w:color="auto"/>
            </w:tcBorders>
            <w:shd w:val="clear" w:color="auto" w:fill="DDDDDD"/>
          </w:tcPr>
          <w:p>
            <w:pPr>
              <w:spacing w:after="0"/>
              <w:rPr>
                <w:sz w:val="15"/>
                <w:szCs w:val="15"/>
                <w:color w:val="auto"/>
              </w:rPr>
            </w:pPr>
          </w:p>
        </w:tc>
        <w:tc>
          <w:tcPr>
            <w:tcW w:w="780" w:type="dxa"/>
            <w:vAlign w:val="bottom"/>
            <w:tcBorders>
              <w:top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color w:val="2573BA"/>
              </w:rPr>
              <w:t>7,832.1</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8,529.3</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8,595.2</w:t>
            </w:r>
          </w:p>
        </w:tc>
        <w:tc>
          <w:tcPr>
            <w:tcW w:w="1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573BA"/>
              </w:rPr>
              <w:t>(8.2)</w:t>
            </w:r>
          </w:p>
        </w:tc>
        <w:tc>
          <w:tcPr>
            <w:tcW w:w="160" w:type="dxa"/>
            <w:vAlign w:val="bottom"/>
            <w:tcBorders>
              <w:top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220" w:type="dxa"/>
            <w:vAlign w:val="bottom"/>
            <w:tcBorders>
              <w:top w:val="single" w:sz="8" w:color="auto"/>
            </w:tcBorders>
            <w:shd w:val="clear" w:color="auto" w:fill="DDDDDD"/>
          </w:tcPr>
          <w:p>
            <w:pPr>
              <w:spacing w:after="0"/>
              <w:rPr>
                <w:sz w:val="15"/>
                <w:szCs w:val="15"/>
                <w:color w:val="auto"/>
              </w:rPr>
            </w:pPr>
          </w:p>
        </w:tc>
        <w:tc>
          <w:tcPr>
            <w:tcW w:w="7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(697.2)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99"/>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22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2,052.1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2,097.0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1,724.2</w:t>
            </w:r>
          </w:p>
        </w:tc>
        <w:tc>
          <w:tcPr>
            <w:tcW w:w="120" w:type="dxa"/>
            <w:vAlign w:val="bottom"/>
          </w:tcPr>
          <w:p>
            <w:pPr>
              <w:spacing w:after="0"/>
              <w:rPr>
                <w:sz w:val="16"/>
                <w:szCs w:val="16"/>
                <w:color w:val="auto"/>
              </w:rPr>
            </w:pPr>
          </w:p>
        </w:tc>
        <w:tc>
          <w:tcPr>
            <w:tcW w:w="9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2573BA"/>
              </w:rPr>
              <w:t>(2.1)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372.8</w:t>
            </w:r>
          </w:p>
        </w:tc>
        <w:tc>
          <w:tcPr>
            <w:tcW w:w="0" w:type="dxa"/>
            <w:vAlign w:val="bottom"/>
          </w:tcPr>
          <w:p>
            <w:pPr>
              <w:spacing w:after="0"/>
              <w:rPr>
                <w:sz w:val="1"/>
                <w:szCs w:val="1"/>
                <w:color w:val="auto"/>
              </w:rPr>
            </w:pPr>
          </w:p>
        </w:tc>
      </w:tr>
      <w:tr>
        <w:trPr>
          <w:trHeight w:val="295"/>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22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481.6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485.2</w:t>
            </w:r>
          </w:p>
        </w:tc>
        <w:tc>
          <w:tcPr>
            <w:tcW w:w="120" w:type="dxa"/>
            <w:vAlign w:val="bottom"/>
          </w:tcPr>
          <w:p>
            <w:pPr>
              <w:spacing w:after="0"/>
              <w:rPr>
                <w:sz w:val="16"/>
                <w:szCs w:val="16"/>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(0.9)</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216.3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17.6</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88"/>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color w:val="2573BA"/>
              </w:rPr>
              <w:t>97.9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6"/>
                <w:szCs w:val="16"/>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43.8</w:t>
            </w:r>
          </w:p>
        </w:tc>
        <w:tc>
          <w:tcPr>
            <w:tcW w:w="1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29.8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3"/>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Subtotal: Biosimilar product revenues</w:t>
            </w:r>
          </w:p>
        </w:tc>
        <w:tc>
          <w:tcPr>
            <w:tcW w:w="220" w:type="dxa"/>
            <w:vAlign w:val="bottom"/>
            <w:shd w:val="clear" w:color="auto" w:fill="DDDDDD"/>
          </w:tcPr>
          <w:p>
            <w:pPr>
              <w:spacing w:after="0"/>
              <w:rPr>
                <w:sz w:val="15"/>
                <w:szCs w:val="15"/>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795.8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545.1</w:t>
            </w:r>
          </w:p>
        </w:tc>
        <w:tc>
          <w:tcPr>
            <w:tcW w:w="120" w:type="dxa"/>
            <w:vAlign w:val="bottom"/>
          </w:tcPr>
          <w:p>
            <w:pPr>
              <w:spacing w:after="0"/>
              <w:rPr>
                <w:sz w:val="15"/>
                <w:szCs w:val="15"/>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7.8</w:t>
            </w:r>
          </w:p>
        </w:tc>
        <w:tc>
          <w:tcPr>
            <w:tcW w:w="1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99"/>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FUMADERM</w:t>
            </w:r>
          </w:p>
        </w:tc>
        <w:tc>
          <w:tcPr>
            <w:tcW w:w="220" w:type="dxa"/>
            <w:vAlign w:val="bottom"/>
            <w:shd w:val="clear" w:color="auto" w:fill="DDDDDD"/>
          </w:tcPr>
          <w:p>
            <w:pPr>
              <w:spacing w:after="0"/>
              <w:rPr>
                <w:sz w:val="16"/>
                <w:szCs w:val="16"/>
                <w:color w:val="auto"/>
              </w:rPr>
            </w:pP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12.2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9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2573BA"/>
              </w:rPr>
              <w:t>(19.7)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shd w:val="clear" w:color="auto" w:fill="DDDDDD"/>
          </w:tcPr>
          <w:p>
            <w:pPr>
              <w:spacing w:after="0"/>
              <w:rPr>
                <w:sz w:val="9"/>
                <w:szCs w:val="9"/>
                <w:color w:val="auto"/>
              </w:rPr>
            </w:pPr>
          </w:p>
        </w:tc>
        <w:tc>
          <w:tcPr>
            <w:tcW w:w="500" w:type="dxa"/>
            <w:vAlign w:val="bottom"/>
            <w:tcBorders>
              <w:bottom w:val="single" w:sz="8" w:color="auto"/>
            </w:tcBorders>
            <w:shd w:val="clear" w:color="auto" w:fill="DDDDDD"/>
          </w:tcPr>
          <w:p>
            <w:pPr>
              <w:spacing w:after="0"/>
              <w:rPr>
                <w:sz w:val="9"/>
                <w:szCs w:val="9"/>
                <w:color w:val="auto"/>
              </w:rPr>
            </w:pPr>
          </w:p>
        </w:tc>
        <w:tc>
          <w:tcPr>
            <w:tcW w:w="280" w:type="dxa"/>
            <w:vAlign w:val="bottom"/>
            <w:tcBorders>
              <w:bottom w:val="single" w:sz="8" w:color="auto"/>
            </w:tcBorders>
            <w:shd w:val="clear" w:color="auto" w:fill="DDDDDD"/>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gridSpan w:val="2"/>
            <w:shd w:val="clear" w:color="auto" w:fill="DDDDDD"/>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shd w:val="clear" w:color="auto" w:fill="DDDDDD"/>
          </w:tcPr>
          <w:p>
            <w:pPr>
              <w:spacing w:after="0"/>
              <w:rPr>
                <w:sz w:val="9"/>
                <w:szCs w:val="9"/>
                <w:color w:val="auto"/>
              </w:rPr>
            </w:pPr>
          </w:p>
        </w:tc>
        <w:tc>
          <w:tcPr>
            <w:tcW w:w="780" w:type="dxa"/>
            <w:vAlign w:val="bottom"/>
            <w:tcBorders>
              <w:bottom w:val="single" w:sz="8" w:color="auto"/>
            </w:tcBorders>
            <w:shd w:val="clear" w:color="auto" w:fill="DDDDDD"/>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Total product revenues, net</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10,692.2</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11,379.8</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10,886.8</w:t>
            </w:r>
          </w:p>
        </w:tc>
        <w:tc>
          <w:tcPr>
            <w:tcW w:w="120" w:type="dxa"/>
            <w:vAlign w:val="bottom"/>
          </w:tcPr>
          <w:p>
            <w:pPr>
              <w:spacing w:after="0"/>
              <w:rPr>
                <w:sz w:val="17"/>
                <w:szCs w:val="17"/>
                <w:color w:val="auto"/>
              </w:rPr>
            </w:pPr>
          </w:p>
        </w:tc>
        <w:tc>
          <w:tcPr>
            <w:tcW w:w="9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2573BA"/>
              </w:rPr>
              <w:t>(6.0)%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7"/>
                <w:szCs w:val="17"/>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(687.6)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-2365375</wp:posOffset>
            </wp:positionV>
            <wp:extent cx="514350" cy="7283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 cy="72834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 VUMERITY became commercially available in the U.S. in November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Multiple Sclerosis (MS)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6231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Fumarate revenues include sales from TECFIDERA and VUMERITY. In October 2019 the FDA approved VUMERITY for the treatment of RMS and VUMERITY became commercially available in the U.S. in November 2019.</w:t>
      </w:r>
    </w:p>
    <w:p>
      <w:pPr>
        <w:spacing w:after="0" w:line="9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For 2020 compared to 2019, the 17.2% decrease in U.S. Fumarate revenues was primarily due to a decrease in TECFIDERA demand and price as a result of multiple TECFIDERA generic entrants entering the U.S. market during the year ended December 31, 2020. This decrease was partially offset by an increase of approximately $60.0 million in VUMERITY sales, which became commercially available in the U.S. in November 2019.</w:t>
      </w:r>
    </w:p>
    <w:p>
      <w:pPr>
        <w:spacing w:after="0" w:line="151"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For 2020 compared to 2019, the 3.3% increase in rest of world Fumarate revenues was primarily due to an increase in TECFIDERA sales volumes of 8.6%, partially offset by pricing reductions in certain European countries and the unfavorable impact of foreign currency exchange. The increase in volumes was primarily due to continued strong patient growth in our E.U. direct markets, including Italy, Spain and the U.K., as well as growth in Japan and Brazil.</w:t>
      </w:r>
    </w:p>
    <w:p>
      <w:pPr>
        <w:spacing w:after="0" w:line="9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Hatch-Waxman Act in West Virginia and Delaware. We have appealed the judgments in both actions. For additional information,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99"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Multiple TECFIDERA generic entrants are now in the U.S. market and have deeply discounted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53" w:lineRule="auto"/>
        <w:rPr>
          <w:sz w:val="20"/>
          <w:szCs w:val="20"/>
          <w:color w:val="auto"/>
        </w:rPr>
      </w:pPr>
      <w:r>
        <w:rPr>
          <w:rFonts w:ascii="Arial" w:cs="Arial" w:eastAsia="Arial" w:hAnsi="Arial"/>
          <w:sz w:val="18"/>
          <w:szCs w:val="18"/>
          <w:color w:val="auto"/>
        </w:rPr>
        <w:t>compared to TECFIDERA. The generic competition for TECFIDERA significantly reduced our TECFIDERA revenues during the year ended December 31, 2020, and is expected to have a substantial negative impact on our TECFIDERA revenues for as long as there is generic competition.</w:t>
      </w:r>
    </w:p>
    <w:p>
      <w:pPr>
        <w:spacing w:after="0" w:line="97" w:lineRule="exact"/>
        <w:rPr>
          <w:sz w:val="20"/>
          <w:szCs w:val="20"/>
          <w:color w:val="auto"/>
        </w:rPr>
      </w:pPr>
    </w:p>
    <w:p>
      <w:pPr>
        <w:ind w:left="380" w:right="160" w:firstLine="405"/>
        <w:spacing w:after="0" w:line="253" w:lineRule="auto"/>
        <w:rPr>
          <w:sz w:val="20"/>
          <w:szCs w:val="20"/>
          <w:color w:val="auto"/>
        </w:rPr>
      </w:pPr>
      <w:r>
        <w:rPr>
          <w:rFonts w:ascii="Arial" w:cs="Arial" w:eastAsia="Arial" w:hAnsi="Arial"/>
          <w:sz w:val="18"/>
          <w:szCs w:val="18"/>
          <w:color w:val="auto"/>
        </w:rPr>
        <w:t>We anticipate an increase in TECFIDERA sales volume in rest of world in 2021, compared to 2020, notwithstanding the increasing competition from additional treatments for MS and potential disruptions due, directly or indirectly, to the COVID-19 pandemic.</w:t>
      </w:r>
    </w:p>
    <w:p>
      <w:pPr>
        <w:spacing w:after="0" w:line="97" w:lineRule="exact"/>
        <w:rPr>
          <w:sz w:val="20"/>
          <w:szCs w:val="20"/>
          <w:color w:val="auto"/>
        </w:rPr>
      </w:pPr>
    </w:p>
    <w:p>
      <w:pPr>
        <w:ind w:left="380" w:right="180" w:firstLine="405"/>
        <w:spacing w:after="0" w:line="261" w:lineRule="auto"/>
        <w:rPr>
          <w:sz w:val="20"/>
          <w:szCs w:val="20"/>
          <w:color w:val="auto"/>
        </w:rPr>
      </w:pPr>
      <w:r>
        <w:rPr>
          <w:rFonts w:ascii="Arial" w:cs="Arial" w:eastAsia="Arial" w:hAnsi="Arial"/>
          <w:sz w:val="18"/>
          <w:szCs w:val="18"/>
          <w:color w:val="auto"/>
        </w:rPr>
        <w:t>We expect an increase in VUMERITY sales volume in the U.S., mostly driven by the continued launch of VUMERITY.</w:t>
      </w:r>
    </w:p>
    <w:p>
      <w:pPr>
        <w:spacing w:after="0" w:line="90" w:lineRule="exact"/>
        <w:rPr>
          <w:sz w:val="20"/>
          <w:szCs w:val="20"/>
          <w:color w:val="auto"/>
        </w:rPr>
      </w:pPr>
    </w:p>
    <w:p>
      <w:pPr>
        <w:ind w:left="380" w:right="4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Alkermes,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3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Interferon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120650</wp:posOffset>
            </wp:positionV>
            <wp:extent cx="2717165" cy="26231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For 2020 compared to 2019, the 10.7% decrease in U.S. Interferon revenues was primarily due to a decrease in Interferon sales volumes of 12.0%. The net decline in sales volumes reflects the continued decline of the Interferon market as patients transition to other higher efficacy and oral MS therapies.</w:t>
      </w:r>
    </w:p>
    <w:p>
      <w:pPr>
        <w:spacing w:after="0" w:line="151" w:lineRule="exact"/>
        <w:rPr>
          <w:sz w:val="20"/>
          <w:szCs w:val="20"/>
          <w:color w:val="auto"/>
        </w:rPr>
      </w:pPr>
    </w:p>
    <w:p>
      <w:pPr>
        <w:ind w:left="380" w:right="60" w:firstLine="445"/>
        <w:spacing w:after="0" w:line="254" w:lineRule="auto"/>
        <w:rPr>
          <w:sz w:val="20"/>
          <w:szCs w:val="20"/>
          <w:color w:val="auto"/>
        </w:rPr>
      </w:pPr>
      <w:r>
        <w:rPr>
          <w:rFonts w:ascii="Arial" w:cs="Arial" w:eastAsia="Arial" w:hAnsi="Arial"/>
          <w:sz w:val="18"/>
          <w:szCs w:val="18"/>
          <w:color w:val="auto"/>
        </w:rPr>
        <w:t>For 2020 compared to 2019, the 10.5% decrease in rest of world Interferon revenues was primarily due to a decrease in Interferon sales volumes of 7.1%, which negatively impacted comparative revenue of $48.1 million.</w:t>
      </w:r>
    </w:p>
    <w:p>
      <w:pPr>
        <w:spacing w:after="0" w:line="150" w:lineRule="exact"/>
        <w:rPr>
          <w:sz w:val="20"/>
          <w:szCs w:val="20"/>
          <w:color w:val="auto"/>
        </w:rPr>
      </w:pPr>
    </w:p>
    <w:p>
      <w:pPr>
        <w:jc w:val="both"/>
        <w:ind w:left="380" w:right="80" w:firstLine="445"/>
        <w:spacing w:after="0" w:line="256" w:lineRule="auto"/>
        <w:rPr>
          <w:sz w:val="20"/>
          <w:szCs w:val="20"/>
          <w:color w:val="auto"/>
        </w:rPr>
      </w:pPr>
      <w:r>
        <w:rPr>
          <w:rFonts w:ascii="Arial" w:cs="Arial" w:eastAsia="Arial" w:hAnsi="Arial"/>
          <w:sz w:val="18"/>
          <w:szCs w:val="18"/>
          <w:color w:val="auto"/>
        </w:rPr>
        <w:t>We expect that Interferon revenues will continue to decline in both the U.S. and rest of world markets in 2021, compared to 2020, as a result of increasing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competition from our other MS products as well as other treatments for MS, including biosimilars, and pricing reductions in certain European markets.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AVONEX</w:t>
      </w:r>
    </w:p>
    <w:p>
      <w:pPr>
        <w:spacing w:after="0" w:line="189"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For 2020, 2019 and 2018 U.S. AVONEX revenues totaled $1,083.4 million, $1,202.1 million and $1,420.2 million, respectively.</w:t>
      </w:r>
    </w:p>
    <w:p>
      <w:pPr>
        <w:spacing w:after="0" w:line="148"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For 2020, 2019 and 2018 rest of world AVONEX revenues totaled $408.5 million, $463.8 million and $495.3 million, respectively.</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PLEGRIDY</w:t>
      </w:r>
    </w:p>
    <w:p>
      <w:pPr>
        <w:spacing w:after="0" w:line="18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For 2020, 2019 and 2018 U.S. PLEGRIDY revenues totaled $190.1 million, $224.5 million and $248.1 million, respectively.</w:t>
      </w:r>
    </w:p>
    <w:p>
      <w:pPr>
        <w:spacing w:after="0" w:line="144" w:lineRule="exact"/>
        <w:rPr>
          <w:sz w:val="20"/>
          <w:szCs w:val="20"/>
          <w:color w:val="auto"/>
        </w:rPr>
      </w:pPr>
    </w:p>
    <w:p>
      <w:pPr>
        <w:ind w:right="760" w:firstLine="445"/>
        <w:spacing w:after="0" w:line="256" w:lineRule="auto"/>
        <w:rPr>
          <w:sz w:val="20"/>
          <w:szCs w:val="20"/>
          <w:color w:val="auto"/>
        </w:rPr>
      </w:pPr>
      <w:r>
        <w:rPr>
          <w:rFonts w:ascii="Arial" w:cs="Arial" w:eastAsia="Arial" w:hAnsi="Arial"/>
          <w:sz w:val="18"/>
          <w:szCs w:val="18"/>
          <w:color w:val="auto"/>
        </w:rPr>
        <w:t>For 2020, 2019 and 2018 rest of world PLEGRIDY revenues totaled $195.5 million, $211.4 million and $199.4 million, respectively.</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623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For 2020 compared to 2019, the 5.3% increase in U.S. TYSABRI revenues was primarily due to an increase in TYSABRI sales volume of 1.0% and price increases, partially offset by higher discounts and allowance rates.</w:t>
      </w:r>
    </w:p>
    <w:p>
      <w:pPr>
        <w:spacing w:after="0" w:line="150" w:lineRule="exact"/>
        <w:rPr>
          <w:sz w:val="20"/>
          <w:szCs w:val="20"/>
          <w:color w:val="auto"/>
        </w:rPr>
      </w:pPr>
    </w:p>
    <w:p>
      <w:pPr>
        <w:ind w:right="640" w:firstLine="445"/>
        <w:spacing w:after="0" w:line="261" w:lineRule="auto"/>
        <w:rPr>
          <w:sz w:val="20"/>
          <w:szCs w:val="20"/>
          <w:color w:val="auto"/>
        </w:rPr>
      </w:pPr>
      <w:r>
        <w:rPr>
          <w:rFonts w:ascii="Arial" w:cs="Arial" w:eastAsia="Arial" w:hAnsi="Arial"/>
          <w:sz w:val="18"/>
          <w:szCs w:val="18"/>
          <w:color w:val="auto"/>
        </w:rPr>
        <w:t>For 2020 compared to 2019, rest of world TYSABRI revenues remained flat, with stable volume and pricing.</w:t>
      </w:r>
    </w:p>
    <w:p>
      <w:pPr>
        <w:spacing w:after="0" w:line="14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anticipate TYSABRI sales volume to modestly increase on a global basis in 2021, compared to 2020, despite increasing competition from additional treatments for MS, including OCREVUS. We believe that some TYSABRI infusions may be delayed due, directly or indirectly,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COVID-19 pandemic. We expect to continue to face price reductions in certain European markets.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573BA"/>
        </w:rPr>
        <w:t>Spinal Muscular Atrophy (SMA)</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SPINRAZA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17780</wp:posOffset>
            </wp:positionV>
            <wp:extent cx="2717165" cy="26231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For 2020 compared to 2019, the 15.6% decrease in U.S. SPINRAZA revenues was primarily due to a decrease in sales volumes of 15.0%, resulting from increased competition as well as lower loading and maintenance doses due to the impact of site of care closures as a result of the COVID-19 pandemic.</w:t>
      </w:r>
    </w:p>
    <w:p>
      <w:pPr>
        <w:spacing w:after="0" w:line="15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For 2020 compared to 2019, the 8.7% increase in rest of world SPINRAZA revenues was primarily due to a net increase in sales volumes of 16.8%, which was reflective of the impact of a shift from loading to maintenance doses and the impact of site of care closures as a result of the COVID-19 pandemic. This increase was partially lower net prices and the unfavorable impact of foreign currency exchange.</w:t>
      </w:r>
    </w:p>
    <w:p>
      <w:pPr>
        <w:spacing w:after="0" w:line="15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2021 we expect that SPINRAZA revenues will be subject to increased competition resulting in higher discontinuations and a lower rate of new patient starts combined with the impact of loading dose dynamics as patients transition to dosing once every four months and lower prices in certain rest of world countries. We believe that some SPINRAZA doses may continue to be delayed due, directly or indirectly, to the COVID-19 pandemic.</w:t>
      </w:r>
    </w:p>
    <w:p>
      <w:pPr>
        <w:spacing w:after="0" w:line="15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face competition from a gene therapy product that was approved in the U.S. and the E.U. and a new oral product that was approved in the U.S. and has been accepted for review in the E.U. We expect that we will experience competition from both products in additional jurisdictions in the future. Additionally, we are aware of other products now in development that,</w:t>
      </w:r>
    </w:p>
    <w:p>
      <w:pPr>
        <w:spacing w:after="0" w:line="256" w:lineRule="exact"/>
        <w:rPr>
          <w:sz w:val="20"/>
          <w:szCs w:val="20"/>
          <w:color w:val="auto"/>
        </w:rPr>
      </w:pPr>
    </w:p>
    <w:p>
      <w:pPr>
        <w:sectPr>
          <w:pgSz w:w="11900" w:h="16838" w:orient="portrait"/>
          <w:cols w:equalWidth="0" w:num="2">
            <w:col w:w="5220" w:space="680"/>
            <w:col w:w="5220"/>
          </w:cols>
          <w:pgMar w:left="320" w:top="144" w:right="459" w:bottom="1440" w:gutter="0" w:footer="0" w:header="0"/>
        </w:sect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if launched, may also compete with SPINRAZA. Future sales of SPINRAZA may be adversely affected by the commercialization of competing products.</w:t>
      </w:r>
    </w:p>
    <w:p>
      <w:pPr>
        <w:spacing w:after="0" w:line="14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Biosimilars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BENEPALI, IMRALDI and FLIXABI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6231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For 2020 compared to 2019, the 7.8% increase in biosimilar revenues was primarily due to higher sales volumes and a favorable foreign currency impact, partially offset by the unfavorable impact of price decreases.</w:t>
      </w:r>
    </w:p>
    <w:p>
      <w:pPr>
        <w:spacing w:after="0" w:line="15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2021 we expect modest to moderate revenue growth for our biosimilars business depending on the impact of the COVID-19 pandemic. We expect growth to be primarily driven by the continued launch of IMRALDI in Europe, partially offset by price reductions in certain European countries.</w:t>
      </w:r>
    </w:p>
    <w:p>
      <w:pPr>
        <w:spacing w:after="0" w:line="151"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biosimilars, SB11, a proposed ranibizumab biosimilar referencing LUCENTIS,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Europe and obtained an option to acquire exclusive rights to commercialize these products in China.</w:t>
      </w:r>
    </w:p>
    <w:p>
      <w:pPr>
        <w:spacing w:after="0" w:line="144" w:lineRule="exact"/>
        <w:rPr>
          <w:sz w:val="20"/>
          <w:szCs w:val="20"/>
          <w:color w:val="auto"/>
        </w:rPr>
      </w:pPr>
    </w:p>
    <w:p>
      <w:pPr>
        <w:ind w:right="46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Revenues from Anti-CD20 Therapeutic Programs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Genentech (Roche Group)</w:t>
      </w:r>
    </w:p>
    <w:p>
      <w:pPr>
        <w:spacing w:after="0" w:line="112"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Our share of RITUXAN, including RITUXAN HYCELA, and GAZYVA collaboration operating profits in the U.S. and other revenues from anti -CD20 therapeutic programs are summarized in the table below. For purposes of this discussion, we refer to RITUXAN and RITUXAN HYCELA collectively as RITUXAN.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717165" cy="31375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1716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202"/>
        <w:spacing w:after="0" w:line="282" w:lineRule="auto"/>
        <w:rPr>
          <w:sz w:val="20"/>
          <w:szCs w:val="20"/>
          <w:color w:val="auto"/>
        </w:rPr>
      </w:pPr>
      <w:r>
        <w:rPr>
          <w:rFonts w:ascii="Arial" w:cs="Arial" w:eastAsia="Arial" w:hAnsi="Arial"/>
          <w:sz w:val="18"/>
          <w:szCs w:val="18"/>
          <w:i w:val="1"/>
          <w:iCs w:val="1"/>
          <w:color w:val="538235"/>
        </w:rPr>
        <w:t>Biogen’s Share of Pre-tax Profits in the U.S. for RITUXAN and GAZYVA</w:t>
      </w:r>
    </w:p>
    <w:p>
      <w:pPr>
        <w:spacing w:after="0" w:line="58"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The following table provides a summary of amounts comprising our share of pre-tax profits in the U.S. for RITUXAN and GAZYVA:</w:t>
      </w:r>
    </w:p>
    <w:p>
      <w:pPr>
        <w:spacing w:after="0" w:line="94" w:lineRule="exact"/>
        <w:rPr>
          <w:sz w:val="20"/>
          <w:szCs w:val="20"/>
          <w:color w:val="auto"/>
        </w:rPr>
      </w:pPr>
    </w:p>
    <w:p>
      <w:pPr>
        <w:sectPr>
          <w:pgSz w:w="11900" w:h="16838" w:orient="portrait"/>
          <w:cols w:equalWidth="0" w:num="2">
            <w:col w:w="5180" w:space="720"/>
            <w:col w:w="5160"/>
          </w:cols>
          <w:pgMar w:left="320" w:top="144" w:right="51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SB15, a proposed aflibercept biosimilar referencing EYLEA, in major markets worldwide, including the U.S., Canada, Europe, Japan and Australia. In October 2020 the EMA accepted for review the MAA for SB11 and in November 2020 the FDA accepted the BLA for SB11. We also acquired an option to extend our existing commercial agreement with Samsung Bioepis for BENEPALI, IMRALDI and FLIXABI in certain countries in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wp:posOffset>
            </wp:positionV>
            <wp:extent cx="10369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4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Product revenues, net Cost and expenses</w:t>
      </w:r>
    </w:p>
    <w:p>
      <w:pPr>
        <w:spacing w:after="0" w:line="1"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Pre-tax profits in the U.S.</w:t>
      </w:r>
    </w:p>
    <w:p>
      <w:pPr>
        <w:spacing w:after="0" w:line="17"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Biogen's share of pre-tax profits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2202815" cy="788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02815" cy="78867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2573BA"/>
              </w:rPr>
              <w:t>2020</w:t>
            </w:r>
          </w:p>
        </w:tc>
        <w:tc>
          <w:tcPr>
            <w:tcW w:w="3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r>
      <w:tr>
        <w:trPr>
          <w:trHeight w:val="203"/>
        </w:trPr>
        <w:tc>
          <w:tcPr>
            <w:tcW w:w="220" w:type="dxa"/>
            <w:vAlign w:val="bottom"/>
          </w:tcPr>
          <w:p>
            <w:pPr>
              <w:jc w:val="right"/>
              <w:ind w:right="68"/>
              <w:spacing w:after="0"/>
              <w:rPr>
                <w:sz w:val="20"/>
                <w:szCs w:val="20"/>
                <w:color w:val="auto"/>
              </w:rPr>
            </w:pPr>
            <w:r>
              <w:rPr>
                <w:rFonts w:ascii="Arial" w:cs="Arial" w:eastAsia="Arial" w:hAnsi="Arial"/>
                <w:sz w:val="14"/>
                <w:szCs w:val="14"/>
                <w:color w:val="2573BA"/>
                <w:w w:val="76"/>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2573BA"/>
              </w:rPr>
              <w:t>3,334.1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4,747.4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4,484.3</w:t>
            </w:r>
          </w:p>
        </w:tc>
      </w:tr>
      <w:tr>
        <w:trPr>
          <w:trHeight w:val="189"/>
        </w:trPr>
        <w:tc>
          <w:tcPr>
            <w:tcW w:w="2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2573BA"/>
              </w:rPr>
              <w:t>433.0</w:t>
            </w:r>
          </w:p>
        </w:tc>
        <w:tc>
          <w:tcPr>
            <w:tcW w:w="3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622.7</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669.6</w:t>
            </w:r>
          </w:p>
        </w:tc>
      </w:tr>
      <w:tr>
        <w:trPr>
          <w:trHeight w:val="297"/>
        </w:trPr>
        <w:tc>
          <w:tcPr>
            <w:tcW w:w="220" w:type="dxa"/>
            <w:vAlign w:val="bottom"/>
          </w:tcPr>
          <w:p>
            <w:pPr>
              <w:jc w:val="right"/>
              <w:ind w:right="68"/>
              <w:spacing w:after="0"/>
              <w:rPr>
                <w:sz w:val="20"/>
                <w:szCs w:val="20"/>
                <w:color w:val="auto"/>
              </w:rPr>
            </w:pPr>
            <w:r>
              <w:rPr>
                <w:rFonts w:ascii="Arial" w:cs="Arial" w:eastAsia="Arial" w:hAnsi="Arial"/>
                <w:sz w:val="14"/>
                <w:szCs w:val="14"/>
                <w:color w:val="2573BA"/>
                <w:w w:val="76"/>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2573BA"/>
              </w:rPr>
              <w:t>2,901.1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4,124.7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3,814.7</w:t>
            </w:r>
          </w:p>
        </w:tc>
      </w:tr>
      <w:tr>
        <w:trPr>
          <w:trHeight w:val="324"/>
        </w:trPr>
        <w:tc>
          <w:tcPr>
            <w:tcW w:w="220" w:type="dxa"/>
            <w:vAlign w:val="bottom"/>
          </w:tcPr>
          <w:p>
            <w:pPr>
              <w:jc w:val="right"/>
              <w:ind w:right="68"/>
              <w:spacing w:after="0"/>
              <w:rPr>
                <w:sz w:val="20"/>
                <w:szCs w:val="20"/>
                <w:color w:val="auto"/>
              </w:rPr>
            </w:pPr>
            <w:r>
              <w:rPr>
                <w:rFonts w:ascii="Arial" w:cs="Arial" w:eastAsia="Arial" w:hAnsi="Arial"/>
                <w:sz w:val="14"/>
                <w:szCs w:val="14"/>
                <w:color w:val="2573BA"/>
                <w:w w:val="76"/>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2573BA"/>
              </w:rPr>
              <w:t>1,080.2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1,542.4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22028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3">
            <w:col w:w="5220" w:space="700"/>
            <w:col w:w="1600" w:space="140"/>
            <w:col w:w="3400"/>
          </w:cols>
          <w:pgMar w:left="320" w:top="144" w:right="51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4" w:right="51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For 2020 compared to 2019, the decrease in U.S. product revenues, net was primarily due to a decrease in sales volumes of RITUXAN in the U.S. of 26.7%, due to the onset of competition from multiple biosimilars, and we believe RITUXAN was adversely impacted by the COVID-19 pandemic.</w:t>
      </w:r>
    </w:p>
    <w:p>
      <w:pPr>
        <w:spacing w:after="0" w:line="151"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For 2020 compared to 2019, product revenues, net also reflects increases in GAZYVA sales volumes of 24.7%.</w:t>
      </w:r>
    </w:p>
    <w:p>
      <w:pPr>
        <w:spacing w:after="0" w:line="144"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For 2020 compared to 2019, the decrease in collaboration costs and expenses was primarily due to lower cost of sales on RITUXAN.</w:t>
      </w:r>
    </w:p>
    <w:p>
      <w:pPr>
        <w:spacing w:after="0" w:line="148"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are aware of several other anti-CD20 molecules, including biosimilar products, that have recently been approved and are expected to compete with RITUXAN and GAZYVA in the oncology market. In November 2019, January 2020 and January 2021 biosimilar products referencing RITUXAN were launched in the U.S. and are being offered at lower prices. This competition has adversely affected the pre-tax profits of our collaboration arrangements with Genentech and could have a significant adverse affect on our co-promotion profits in the U.S. in future years.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Other Revenues from Anti-CD20 Therapeutic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OCREVUS and our share of pre-tax co-promotion profits from RITUXAN in Canada.</w:t>
      </w:r>
    </w:p>
    <w:p>
      <w:pPr>
        <w:spacing w:after="0" w:line="144"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For 2020 compared to 2019, the increase in other revenues from anti-CD20 therapeutic programs was primarily due to sales growth of OCREVUS. Royalty revenues recognized on sales of OCREVUS for the years ended December 31, 2020, 2019 and 2018, totaled $845.4 million, $687.5 million and $478.3 million, respectively.</w:t>
      </w:r>
    </w:p>
    <w:p>
      <w:pPr>
        <w:spacing w:after="0" w:line="154"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OCREVUS royalty revenues are based on our estimates from third party and market research data of OCREVUS sales occurring during the corresponding period. Differences between actual and estimated royalty revenues will be adjusted for in the period in which they become known, which is generally expected to be the following quarter.</w:t>
      </w:r>
    </w:p>
    <w:p>
      <w:pPr>
        <w:spacing w:after="0" w:line="154" w:lineRule="exact"/>
        <w:rPr>
          <w:sz w:val="20"/>
          <w:szCs w:val="20"/>
          <w:color w:val="auto"/>
        </w:rPr>
      </w:pPr>
    </w:p>
    <w:p>
      <w:pPr>
        <w:ind w:right="360" w:firstLine="445"/>
        <w:spacing w:after="0" w:line="252"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revenues from anti-CD20 therapeutic programs, please read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532" w:lineRule="exact"/>
        <w:rPr>
          <w:sz w:val="20"/>
          <w:szCs w:val="20"/>
          <w:color w:val="auto"/>
        </w:rPr>
      </w:pPr>
    </w:p>
    <w:p>
      <w:pPr>
        <w:sectPr>
          <w:pgSz w:w="11900" w:h="16838" w:orient="portrait"/>
          <w:cols w:equalWidth="0" w:num="2">
            <w:col w:w="5200" w:space="700"/>
            <w:col w:w="5340"/>
          </w:cols>
          <w:pgMar w:left="320" w:top="144" w:right="339" w:bottom="1440" w:gutter="0" w:footer="0" w:header="0"/>
        </w:sectPr>
      </w:pPr>
    </w:p>
    <w:p>
      <w:pPr>
        <w:ind w:left="460"/>
        <w:spacing w:after="0"/>
        <w:rPr>
          <w:sz w:val="20"/>
          <w:szCs w:val="20"/>
          <w:color w:val="auto"/>
        </w:rPr>
      </w:pPr>
      <w:r>
        <w:rPr>
          <w:rFonts w:ascii="Arial" w:cs="Arial" w:eastAsia="Arial" w:hAnsi="Arial"/>
          <w:sz w:val="18"/>
          <w:szCs w:val="18"/>
          <w:color w:val="auto"/>
        </w:rPr>
        <w:t>Other revenues from anti-CD20 therapeutic programs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consist of royalty revenues on sales of</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Revenues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8"/>
            <w:vMerge w:val="restart"/>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shd w:val="clear" w:color="auto" w:fill="DBDBDB"/>
          </w:tcPr>
          <w:p>
            <w:pPr>
              <w:jc w:val="right"/>
              <w:ind w:right="89"/>
              <w:spacing w:after="0" w:line="142" w:lineRule="exact"/>
              <w:rPr>
                <w:sz w:val="20"/>
                <w:szCs w:val="20"/>
                <w:color w:val="auto"/>
              </w:rPr>
            </w:pPr>
            <w:r>
              <w:rPr>
                <w:rFonts w:ascii="Arial" w:cs="Arial" w:eastAsia="Arial" w:hAnsi="Arial"/>
                <w:sz w:val="14"/>
                <w:szCs w:val="14"/>
                <w:b w:val="1"/>
                <w:bCs w:val="1"/>
                <w:color w:val="026DCE"/>
              </w:rPr>
              <w:t>2020</w:t>
            </w:r>
          </w:p>
        </w:tc>
        <w:tc>
          <w:tcPr>
            <w:tcW w:w="160" w:type="dxa"/>
            <w:vAlign w:val="bottom"/>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center"/>
              <w:ind w:right="24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89"/>
              <w:spacing w:after="0" w:line="142" w:lineRule="exact"/>
              <w:rPr>
                <w:sz w:val="20"/>
                <w:szCs w:val="20"/>
                <w:color w:val="auto"/>
              </w:rPr>
            </w:pPr>
            <w:r>
              <w:rPr>
                <w:rFonts w:ascii="Arial" w:cs="Arial" w:eastAsia="Arial" w:hAnsi="Arial"/>
                <w:sz w:val="14"/>
                <w:szCs w:val="14"/>
                <w:b w:val="1"/>
                <w:bCs w:val="1"/>
                <w:color w:val="026DCE"/>
              </w:rPr>
              <w:t>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89"/>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960" w:type="dxa"/>
            <w:vAlign w:val="bottom"/>
            <w:gridSpan w:val="2"/>
            <w:shd w:val="clear" w:color="auto" w:fill="DBDBDB"/>
          </w:tcPr>
          <w:p>
            <w:pPr>
              <w:jc w:val="right"/>
              <w:ind w:right="308"/>
              <w:spacing w:after="0" w:line="115" w:lineRule="exact"/>
              <w:rPr>
                <w:sz w:val="20"/>
                <w:szCs w:val="20"/>
                <w:color w:val="auto"/>
              </w:rPr>
            </w:pPr>
            <w:r>
              <w:rPr>
                <w:rFonts w:ascii="Arial" w:cs="Arial" w:eastAsia="Arial" w:hAnsi="Arial"/>
                <w:sz w:val="13"/>
                <w:szCs w:val="13"/>
                <w:b w:val="1"/>
                <w:bCs w:val="1"/>
                <w:color w:val="026DCE"/>
              </w:rPr>
              <w:t>vs.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jc w:val="center"/>
              <w:ind w:right="420"/>
              <w:spacing w:after="0" w:line="115" w:lineRule="exact"/>
              <w:rPr>
                <w:sz w:val="20"/>
                <w:szCs w:val="20"/>
                <w:color w:val="auto"/>
              </w:rPr>
            </w:pPr>
            <w:r>
              <w:rPr>
                <w:rFonts w:ascii="Arial" w:cs="Arial" w:eastAsia="Arial" w:hAnsi="Arial"/>
                <w:sz w:val="13"/>
                <w:szCs w:val="13"/>
                <w:b w:val="1"/>
                <w:bCs w:val="1"/>
                <w:color w:val="auto"/>
              </w:rPr>
              <w:t>vs.</w:t>
            </w:r>
          </w:p>
        </w:tc>
        <w:tc>
          <w:tcPr>
            <w:tcW w:w="180" w:type="dxa"/>
            <w:vAlign w:val="bottom"/>
            <w:shd w:val="clear" w:color="auto" w:fill="DBDBDB"/>
          </w:tcPr>
          <w:p>
            <w:pPr>
              <w:spacing w:after="0"/>
              <w:rPr>
                <w:sz w:val="10"/>
                <w:szCs w:val="10"/>
                <w:color w:val="auto"/>
              </w:rPr>
            </w:pPr>
          </w:p>
        </w:tc>
        <w:tc>
          <w:tcPr>
            <w:tcW w:w="660" w:type="dxa"/>
            <w:vAlign w:val="bottom"/>
            <w:shd w:val="clear" w:color="auto" w:fill="DBDBDB"/>
          </w:tcPr>
          <w:p>
            <w:pPr>
              <w:jc w:val="right"/>
              <w:ind w:right="249"/>
              <w:spacing w:after="0" w:line="115" w:lineRule="exact"/>
              <w:rPr>
                <w:sz w:val="20"/>
                <w:szCs w:val="20"/>
                <w:color w:val="auto"/>
              </w:rPr>
            </w:pPr>
            <w:r>
              <w:rPr>
                <w:rFonts w:ascii="Arial" w:cs="Arial" w:eastAsia="Arial" w:hAnsi="Arial"/>
                <w:sz w:val="13"/>
                <w:szCs w:val="13"/>
                <w:b w:val="1"/>
                <w:bCs w:val="1"/>
                <w:color w:val="026DCE"/>
              </w:rPr>
              <w:t>vs.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ind w:right="249"/>
              <w:spacing w:after="0" w:line="115" w:lineRule="exact"/>
              <w:rPr>
                <w:sz w:val="20"/>
                <w:szCs w:val="20"/>
                <w:color w:val="auto"/>
              </w:rPr>
            </w:pPr>
            <w:r>
              <w:rPr>
                <w:rFonts w:ascii="Arial" w:cs="Arial" w:eastAsia="Arial" w:hAnsi="Arial"/>
                <w:sz w:val="13"/>
                <w:szCs w:val="13"/>
                <w:b w:val="1"/>
                <w:bCs w:val="1"/>
                <w:color w:val="auto"/>
              </w:rPr>
              <w:t>vs.</w:t>
            </w:r>
          </w:p>
        </w:tc>
        <w:tc>
          <w:tcPr>
            <w:tcW w:w="0" w:type="dxa"/>
            <w:vAlign w:val="bottom"/>
          </w:tcPr>
          <w:p>
            <w:pPr>
              <w:spacing w:after="0"/>
              <w:rPr>
                <w:sz w:val="1"/>
                <w:szCs w:val="1"/>
                <w:color w:val="auto"/>
              </w:rPr>
            </w:pPr>
          </w:p>
        </w:tc>
      </w:tr>
      <w:tr>
        <w:trPr>
          <w:trHeight w:val="17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780" w:type="dxa"/>
            <w:vAlign w:val="bottom"/>
            <w:tcBorders>
              <w:top w:val="single" w:sz="8" w:color="auto"/>
              <w:bottom w:val="single" w:sz="8" w:color="auto"/>
              <w:right w:val="single" w:sz="8" w:color="DDDDDD"/>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ACB"/>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800" w:type="dxa"/>
            <w:vAlign w:val="bottom"/>
            <w:tcBorders>
              <w:top w:val="single" w:sz="8" w:color="DBDBDB"/>
              <w:bottom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b w:val="1"/>
                <w:bCs w:val="1"/>
                <w:color w:val="026DCE"/>
              </w:rPr>
              <w:t>2019</w:t>
            </w:r>
          </w:p>
        </w:tc>
        <w:tc>
          <w:tcPr>
            <w:tcW w:w="160" w:type="dxa"/>
            <w:vAlign w:val="bottom"/>
            <w:tcBorders>
              <w:top w:val="single" w:sz="8" w:color="DBDBDB"/>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4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80" w:type="dxa"/>
            <w:vAlign w:val="bottom"/>
            <w:tcBorders>
              <w:top w:val="single" w:sz="8" w:color="DBDBDB"/>
              <w:bottom w:val="single" w:sz="8" w:color="auto"/>
            </w:tcBorders>
            <w:shd w:val="clear" w:color="auto" w:fill="DBDBDB"/>
          </w:tcPr>
          <w:p>
            <w:pPr>
              <w:spacing w:after="0"/>
              <w:rPr>
                <w:sz w:val="15"/>
                <w:szCs w:val="15"/>
                <w:color w:val="auto"/>
              </w:rPr>
            </w:pPr>
          </w:p>
        </w:tc>
        <w:tc>
          <w:tcPr>
            <w:tcW w:w="660" w:type="dxa"/>
            <w:vAlign w:val="bottom"/>
            <w:tcBorders>
              <w:top w:val="single" w:sz="8" w:color="DBDBDB"/>
              <w:bottom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b w:val="1"/>
                <w:bCs w:val="1"/>
                <w:color w:val="026DCE"/>
              </w:rPr>
              <w:t>2019</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Revenues from collaborative and other relationships</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ACB"/>
              </w:rPr>
              <w:t>$</w:t>
            </w:r>
          </w:p>
        </w:tc>
        <w:tc>
          <w:tcPr>
            <w:tcW w:w="78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ACB"/>
              </w:rPr>
              <w:t>21.6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5"/>
                <w:szCs w:val="15"/>
                <w:color w:val="auto"/>
              </w:rPr>
            </w:pPr>
          </w:p>
        </w:tc>
        <w:tc>
          <w:tcPr>
            <w:tcW w:w="9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ACB"/>
              </w:rPr>
              <w:t>(79.7)%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(84.6)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revenues</w:t>
            </w: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ACB"/>
              </w:rPr>
              <w:t>753.0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498.1</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57ACB"/>
              </w:rPr>
              <w:t>25.2</w:t>
            </w:r>
          </w:p>
        </w:tc>
        <w:tc>
          <w:tcPr>
            <w:tcW w:w="1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026DCE"/>
              </w:rPr>
              <w:t>151.5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0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Total other revenues</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ACB"/>
              </w:rPr>
              <w:t>$</w:t>
            </w:r>
          </w:p>
        </w:tc>
        <w:tc>
          <w:tcPr>
            <w:tcW w:w="78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ACB"/>
              </w:rPr>
              <w:t>774.6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707.7</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585.9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57ACB"/>
              </w:rPr>
              <w:t>9.5</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rPr>
              <w:t>20.8 %</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26DCE"/>
              </w:rPr>
              <w:t>66.9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-410845</wp:posOffset>
            </wp:positionV>
            <wp:extent cx="514350" cy="394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 cy="39433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27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2573BA"/>
        </w:rPr>
        <w:t>Revenues from Collaborative and Other Relationships</w:t>
      </w:r>
    </w:p>
    <w:p>
      <w:pPr>
        <w:spacing w:after="0" w:line="193"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Revenues from collaborative and other relationships primarily include revenues from our technical development services and manufacturing agreements with Samsung Bioepis and royalty revenues on biosimilar products from Samsung Bioepis.</w:t>
      </w:r>
    </w:p>
    <w:p>
      <w:pPr>
        <w:spacing w:after="0" w:line="15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Following the divestiture of our Hillerød, Denmark manufacturing operations in August 2019, FUJIFILM Corporation (FUJIFILM) assumed responsibility for the manufacture of clinical and commercial quantities of bulk drug substance of biosimilar products for Samsung Bioepis. We no longer recognize revenues for the manufacturing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completed after the Hillerød, Denmark manufacturing operations divestiture date under our technical development services and manufacturing agreements with Samsung Bioepis.</w:t>
      </w:r>
    </w:p>
    <w:p>
      <w:pPr>
        <w:spacing w:after="0" w:line="148" w:lineRule="exact"/>
        <w:rPr>
          <w:sz w:val="20"/>
          <w:szCs w:val="20"/>
          <w:color w:val="auto"/>
        </w:rPr>
      </w:pPr>
    </w:p>
    <w:p>
      <w:pPr>
        <w:ind w:right="200" w:firstLine="445"/>
        <w:spacing w:after="0" w:line="278" w:lineRule="auto"/>
        <w:rPr>
          <w:sz w:val="20"/>
          <w:szCs w:val="20"/>
          <w:color w:val="auto"/>
        </w:rPr>
      </w:pPr>
      <w:r>
        <w:rPr>
          <w:rFonts w:ascii="Arial" w:cs="Arial" w:eastAsia="Arial" w:hAnsi="Arial"/>
          <w:sz w:val="17"/>
          <w:szCs w:val="17"/>
          <w:color w:val="auto"/>
        </w:rPr>
        <w:t>For the years ended December 31, 2020 and 2019, we recognized $20.9 million and $106.2 million, respectively, related to the services described above provided to Samsung Bioepis.</w:t>
      </w:r>
    </w:p>
    <w:p>
      <w:pPr>
        <w:spacing w:after="0" w:line="131"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 xml:space="preserve">For additional information on our collaborative and other relationships, including revenues recognized under our technical development services and manufacturing agreements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200" w:lineRule="exact"/>
        <w:rPr>
          <w:sz w:val="20"/>
          <w:szCs w:val="20"/>
          <w:color w:val="auto"/>
        </w:rPr>
      </w:pPr>
    </w:p>
    <w:p>
      <w:pPr>
        <w:sectPr>
          <w:pgSz w:w="11900" w:h="16838" w:orient="portrait"/>
          <w:cols w:equalWidth="0" w:num="2">
            <w:col w:w="5200" w:space="700"/>
            <w:col w:w="5340"/>
          </w:cols>
          <w:pgMar w:left="320" w:top="144" w:right="339"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Royalty and Corporate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6231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receive royalties from net sales on products related to patents that we have out-licensed and we record other corporate revenues primarily from amounts earned under contract manufacturing agreements.</w:t>
      </w:r>
    </w:p>
    <w:p>
      <w:pPr>
        <w:spacing w:after="0" w:line="150" w:lineRule="exact"/>
        <w:rPr>
          <w:sz w:val="20"/>
          <w:szCs w:val="20"/>
          <w:color w:val="auto"/>
        </w:rPr>
      </w:pPr>
    </w:p>
    <w:p>
      <w:pPr>
        <w:ind w:right="160" w:firstLine="445"/>
        <w:spacing w:after="0" w:line="251" w:lineRule="auto"/>
        <w:rPr>
          <w:sz w:val="20"/>
          <w:szCs w:val="20"/>
          <w:color w:val="auto"/>
        </w:rPr>
      </w:pPr>
      <w:r>
        <w:rPr>
          <w:rFonts w:ascii="Arial" w:cs="Arial" w:eastAsia="Arial" w:hAnsi="Arial"/>
          <w:sz w:val="18"/>
          <w:szCs w:val="18"/>
          <w:color w:val="auto"/>
        </w:rPr>
        <w:t>During the third quarter of 2019, we amended our agreement with a contract manufacturing customer pursuant to which we licensed certain of our manufacturing-related intellectual property to the customer. In the second quarter of 2020, the customer received regulatory approval for its product that is being manufactured using certain of our manufacturing-related intellectual property. As a result, we are entitled to $500.0 million in a series of three payments. The first payment became due upon regulatory approval of such product and was received during the second quarter of 2020. Subsequent payments are due on the first and second anniversaries of the regulatory approval.</w:t>
      </w:r>
    </w:p>
    <w:p>
      <w:pPr>
        <w:spacing w:after="0" w:line="15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Other corporate revenues for the year ended December 31, 2020, reflect $346.2 million related to the delivery of the license for certain of our manufacturing -related intellectual property under the amended agreement discussed above and the performance of manufacturing product supply services for such customer. We have allocated the remaining $153.8 million of the $500.0 million transaction price to the performance of manufacturing product supply services for the customer, which we expect to perform through 2026. The value allocated to the manufacturing services was based on expected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1100"/>
        <w:spacing w:after="0" w:line="291" w:lineRule="auto"/>
        <w:rPr>
          <w:sz w:val="20"/>
          <w:szCs w:val="20"/>
          <w:color w:val="auto"/>
        </w:rPr>
      </w:pPr>
      <w:r>
        <w:rPr>
          <w:rFonts w:ascii="Arial" w:cs="Arial" w:eastAsia="Arial" w:hAnsi="Arial"/>
          <w:sz w:val="17"/>
          <w:szCs w:val="17"/>
          <w:color w:val="auto"/>
        </w:rPr>
        <w:t>demand for supply and the fair value of comparable manufacturing and development services.</w:t>
      </w:r>
    </w:p>
    <w:p>
      <w:pPr>
        <w:spacing w:after="0" w:line="120"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For 2020 compared to 2019, the increase in other royalty and corporate revenues was due to higher contract manufacturing revenues, primarily resulting from $346.2 million in revenues related to the delivery of the license for certain of our manufacturing-related intellectual property to a contract manufacturing customer, as discussed above.</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Reserves for Discounts and Allowances</w:t>
      </w:r>
    </w:p>
    <w:p>
      <w:pPr>
        <w:spacing w:after="0" w:line="103"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Revenues from product sales are recorded net of reserves established for applicable discounts and allowances, including those associated with the implementation of pricing actions in certain international markets where we operate.</w:t>
      </w:r>
    </w:p>
    <w:p>
      <w:pPr>
        <w:spacing w:after="0" w:line="82"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89" w:lineRule="exact"/>
        <w:rPr>
          <w:sz w:val="20"/>
          <w:szCs w:val="20"/>
          <w:color w:val="auto"/>
        </w:rPr>
      </w:pPr>
    </w:p>
    <w:p>
      <w:pPr>
        <w:ind w:left="380" w:right="80" w:firstLine="445"/>
        <w:spacing w:after="0" w:line="256" w:lineRule="auto"/>
        <w:rPr>
          <w:sz w:val="20"/>
          <w:szCs w:val="20"/>
          <w:color w:val="auto"/>
        </w:rPr>
      </w:pPr>
      <w:r>
        <w:rPr>
          <w:rFonts w:ascii="Arial" w:cs="Arial" w:eastAsia="Arial" w:hAnsi="Arial"/>
          <w:sz w:val="18"/>
          <w:szCs w:val="18"/>
          <w:color w:val="auto"/>
        </w:rPr>
        <w:t>Reserves for discounts, contractual adjustments and returns that reduced gross product revenues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-8255</wp:posOffset>
            </wp:positionV>
            <wp:extent cx="2717165" cy="2811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716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160" w:firstLine="445"/>
        <w:spacing w:after="0" w:line="261" w:lineRule="auto"/>
        <w:rPr>
          <w:sz w:val="20"/>
          <w:szCs w:val="20"/>
          <w:color w:val="auto"/>
        </w:rPr>
      </w:pPr>
      <w:r>
        <w:rPr>
          <w:rFonts w:ascii="Arial" w:cs="Arial" w:eastAsia="Arial" w:hAnsi="Arial"/>
          <w:sz w:val="18"/>
          <w:szCs w:val="18"/>
          <w:color w:val="auto"/>
        </w:rPr>
        <w:t>For the years ended December 31, 2020, 2019 and 2018, reserves for discounts and allowances as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580"/>
          </w:cols>
          <w:pgMar w:left="320" w:top="144" w:right="47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 percentage of gross product revenues were 27.1%, 24.3% and 23.7%, respectively.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Discounts</w:t>
      </w:r>
    </w:p>
    <w:p>
      <w:pPr>
        <w:spacing w:after="0" w:line="126"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Discounts include trade term discounts and wholesaler incentives.</w:t>
      </w:r>
    </w:p>
    <w:p>
      <w:pPr>
        <w:spacing w:after="0" w:line="14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For 2020 compared to 2019, the increase in discounts was primarily driven by an increase in gross biosimilar sales in our international markets as well as increases in discount percentages in certain countries.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Contractual Adjustments</w:t>
      </w:r>
    </w:p>
    <w:p>
      <w:pPr>
        <w:spacing w:after="0" w:line="112" w:lineRule="exact"/>
        <w:rPr>
          <w:sz w:val="20"/>
          <w:szCs w:val="20"/>
          <w:color w:val="auto"/>
        </w:rPr>
      </w:pPr>
    </w:p>
    <w:p>
      <w:pPr>
        <w:jc w:val="both"/>
        <w:ind w:right="60" w:firstLine="445"/>
        <w:spacing w:after="0" w:line="273" w:lineRule="auto"/>
        <w:rPr>
          <w:sz w:val="20"/>
          <w:szCs w:val="20"/>
          <w:color w:val="auto"/>
        </w:rPr>
      </w:pPr>
      <w:r>
        <w:rPr>
          <w:rFonts w:ascii="Arial" w:cs="Arial" w:eastAsia="Arial" w:hAnsi="Arial"/>
          <w:sz w:val="17"/>
          <w:szCs w:val="17"/>
          <w:color w:val="auto"/>
        </w:rPr>
        <w:t>Contractual adjustments primarily relate to Medicaid and managed care rebates, pharmacy rebates, co-payment (copay) assistance, VA and PHS discounts, specialty pharmacy program fees and other government rebates or applicable allowances.</w:t>
      </w:r>
    </w:p>
    <w:p>
      <w:pPr>
        <w:spacing w:after="0" w:line="13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For 2020 compared to 2019, the increase in contractual adjustments was primarily due to higher pharmacy rebates and governmental rebates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U.S. as well as higher governmental rebates and allowances in the rest of world, due in part to an increase in SPINRAZA sales volumes worldwide.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Returns</w:t>
      </w:r>
    </w:p>
    <w:p>
      <w:pPr>
        <w:spacing w:after="0" w:line="193" w:lineRule="exact"/>
        <w:rPr>
          <w:sz w:val="20"/>
          <w:szCs w:val="20"/>
          <w:color w:val="auto"/>
        </w:rPr>
      </w:pPr>
    </w:p>
    <w:p>
      <w:pPr>
        <w:ind w:right="160" w:firstLine="445"/>
        <w:spacing w:after="0" w:line="269" w:lineRule="auto"/>
        <w:rPr>
          <w:sz w:val="20"/>
          <w:szCs w:val="20"/>
          <w:color w:val="auto"/>
        </w:rPr>
      </w:pPr>
      <w:r>
        <w:rPr>
          <w:rFonts w:ascii="Arial" w:cs="Arial" w:eastAsia="Arial" w:hAnsi="Arial"/>
          <w:sz w:val="17"/>
          <w:szCs w:val="17"/>
          <w:color w:val="auto"/>
        </w:rPr>
        <w:t>Product return reserves are established for returns expected to be made by wholesalers. In accordance with contractual terms, wholesalers are permitted to return product for reasons such as damaged or expired product. The majority of wholesaler returns are due to product expiration. Provisions for product returns are recognized in the period the related revenues are recognized, resulting in a reduction to product sales.</w:t>
      </w:r>
    </w:p>
    <w:p>
      <w:pPr>
        <w:spacing w:after="0" w:line="140"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For 2020 compared to 2019, return reserves were relatively consistent.</w:t>
      </w:r>
    </w:p>
    <w:p>
      <w:pPr>
        <w:spacing w:after="0" w:line="144"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4, Revenues,</w:t>
      </w:r>
      <w:r>
        <w:rPr>
          <w:rFonts w:ascii="Arial" w:cs="Arial" w:eastAsia="Arial" w:hAnsi="Arial"/>
          <w:sz w:val="18"/>
          <w:szCs w:val="18"/>
          <w:color w:val="auto"/>
        </w:rPr>
        <w:t xml:space="preserve"> to our consolidated financial statements included in this report.</w:t>
      </w:r>
    </w:p>
    <w:p>
      <w:pPr>
        <w:spacing w:after="0" w:line="429" w:lineRule="exact"/>
        <w:rPr>
          <w:sz w:val="20"/>
          <w:szCs w:val="20"/>
          <w:color w:val="auto"/>
        </w:rPr>
      </w:pPr>
    </w:p>
    <w:p>
      <w:pPr>
        <w:sectPr>
          <w:pgSz w:w="11900" w:h="16838" w:orient="portrait"/>
          <w:cols w:equalWidth="0" w:num="2">
            <w:col w:w="5180" w:space="720"/>
            <w:col w:w="5340"/>
          </w:cols>
          <w:pgMar w:left="320" w:top="144" w:right="3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Cost and Expenses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total cost and expenses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shd w:val="clear" w:color="auto" w:fill="DBDBDB"/>
          </w:tcPr>
          <w:p>
            <w:pPr>
              <w:jc w:val="right"/>
              <w:ind w:right="108"/>
              <w:spacing w:after="0" w:line="142" w:lineRule="exact"/>
              <w:rPr>
                <w:sz w:val="20"/>
                <w:szCs w:val="20"/>
                <w:color w:val="auto"/>
              </w:rPr>
            </w:pPr>
            <w:r>
              <w:rPr>
                <w:rFonts w:ascii="Arial" w:cs="Arial" w:eastAsia="Arial" w:hAnsi="Arial"/>
                <w:sz w:val="14"/>
                <w:szCs w:val="14"/>
                <w:b w:val="1"/>
                <w:bCs w:val="1"/>
                <w:color w:val="026DCE"/>
              </w:rPr>
              <w:t>2020</w:t>
            </w:r>
          </w:p>
        </w:tc>
        <w:tc>
          <w:tcPr>
            <w:tcW w:w="140" w:type="dxa"/>
            <w:vAlign w:val="bottom"/>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tcBorders>
              <w:right w:val="single" w:sz="8" w:color="DBDBDB"/>
            </w:tcBorders>
            <w:shd w:val="clear" w:color="auto" w:fill="DBDBDB"/>
          </w:tcPr>
          <w:p>
            <w:pPr>
              <w:jc w:val="right"/>
              <w:ind w:right="228"/>
              <w:spacing w:after="0" w:line="142" w:lineRule="exact"/>
              <w:rPr>
                <w:sz w:val="20"/>
                <w:szCs w:val="20"/>
                <w:color w:val="auto"/>
              </w:rPr>
            </w:pPr>
            <w:r>
              <w:rPr>
                <w:rFonts w:ascii="Arial" w:cs="Arial" w:eastAsia="Arial" w:hAnsi="Arial"/>
                <w:sz w:val="14"/>
                <w:szCs w:val="14"/>
                <w:b w:val="1"/>
                <w:bCs w:val="1"/>
                <w:color w:val="026DCE"/>
              </w:rPr>
              <w:t>2020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960" w:type="dxa"/>
            <w:vAlign w:val="bottom"/>
            <w:gridSpan w:val="2"/>
            <w:shd w:val="clear" w:color="auto" w:fill="DBDBDB"/>
          </w:tcPr>
          <w:p>
            <w:pPr>
              <w:jc w:val="right"/>
              <w:ind w:right="380"/>
              <w:spacing w:after="0" w:line="115" w:lineRule="exact"/>
              <w:rPr>
                <w:sz w:val="20"/>
                <w:szCs w:val="20"/>
                <w:color w:val="auto"/>
              </w:rPr>
            </w:pPr>
            <w:r>
              <w:rPr>
                <w:rFonts w:ascii="Arial" w:cs="Arial" w:eastAsia="Arial" w:hAnsi="Arial"/>
                <w:sz w:val="13"/>
                <w:szCs w:val="13"/>
                <w:b w:val="1"/>
                <w:bCs w:val="1"/>
                <w:color w:val="026DCE"/>
              </w:rPr>
              <w:t>vs.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vs.</w:t>
            </w:r>
          </w:p>
        </w:tc>
        <w:tc>
          <w:tcPr>
            <w:tcW w:w="200" w:type="dxa"/>
            <w:vAlign w:val="bottom"/>
            <w:shd w:val="clear" w:color="auto" w:fill="DBDBDB"/>
          </w:tcPr>
          <w:p>
            <w:pPr>
              <w:spacing w:after="0"/>
              <w:rPr>
                <w:sz w:val="10"/>
                <w:szCs w:val="10"/>
                <w:color w:val="auto"/>
              </w:rPr>
            </w:pPr>
          </w:p>
        </w:tc>
        <w:tc>
          <w:tcPr>
            <w:tcW w:w="700" w:type="dxa"/>
            <w:vAlign w:val="bottom"/>
            <w:tcBorders>
              <w:right w:val="single" w:sz="8" w:color="DBDBDB"/>
            </w:tcBorders>
            <w:shd w:val="clear" w:color="auto" w:fill="DBDBDB"/>
          </w:tcPr>
          <w:p>
            <w:pPr>
              <w:jc w:val="right"/>
              <w:ind w:right="288"/>
              <w:spacing w:after="0" w:line="115" w:lineRule="exact"/>
              <w:rPr>
                <w:sz w:val="20"/>
                <w:szCs w:val="20"/>
                <w:color w:val="auto"/>
              </w:rPr>
            </w:pPr>
            <w:r>
              <w:rPr>
                <w:rFonts w:ascii="Arial" w:cs="Arial" w:eastAsia="Arial" w:hAnsi="Arial"/>
                <w:sz w:val="13"/>
                <w:szCs w:val="13"/>
                <w:b w:val="1"/>
                <w:bCs w:val="1"/>
                <w:color w:val="026DCE"/>
              </w:rPr>
              <w:t>vs.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jc w:val="right"/>
              <w:ind w:right="268"/>
              <w:spacing w:after="0" w:line="115" w:lineRule="exact"/>
              <w:rPr>
                <w:sz w:val="20"/>
                <w:szCs w:val="20"/>
                <w:color w:val="auto"/>
              </w:rPr>
            </w:pPr>
            <w:r>
              <w:rPr>
                <w:rFonts w:ascii="Arial" w:cs="Arial" w:eastAsia="Arial" w:hAnsi="Arial"/>
                <w:sz w:val="13"/>
                <w:szCs w:val="13"/>
                <w:b w:val="1"/>
                <w:bCs w:val="1"/>
                <w:color w:val="auto"/>
              </w:rPr>
              <w:t>vs.</w:t>
            </w:r>
          </w:p>
        </w:tc>
        <w:tc>
          <w:tcPr>
            <w:tcW w:w="0" w:type="dxa"/>
            <w:vAlign w:val="bottom"/>
          </w:tcPr>
          <w:p>
            <w:pPr>
              <w:spacing w:after="0"/>
              <w:rPr>
                <w:sz w:val="1"/>
                <w:szCs w:val="1"/>
                <w:color w:val="auto"/>
              </w:rPr>
            </w:pPr>
          </w:p>
        </w:tc>
      </w:tr>
      <w:tr>
        <w:trPr>
          <w:trHeight w:val="17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800" w:type="dxa"/>
            <w:vAlign w:val="bottom"/>
            <w:tcBorders>
              <w:top w:val="single" w:sz="8" w:color="auto"/>
              <w:bottom w:val="single" w:sz="8" w:color="auto"/>
              <w:right w:val="single" w:sz="8" w:color="DDDDDD"/>
            </w:tcBorders>
            <w:gridSpan w:val="2"/>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820" w:type="dxa"/>
            <w:vAlign w:val="bottom"/>
            <w:tcBorders>
              <w:top w:val="single" w:sz="8" w:color="DBDBDB"/>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026DCE"/>
              </w:rPr>
              <w:t>2019</w:t>
            </w:r>
          </w:p>
        </w:tc>
        <w:tc>
          <w:tcPr>
            <w:tcW w:w="140" w:type="dxa"/>
            <w:vAlign w:val="bottom"/>
            <w:tcBorders>
              <w:top w:val="single" w:sz="8" w:color="DBDBDB"/>
              <w:bottom w:val="single" w:sz="8" w:color="auto"/>
            </w:tcBorders>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5"/>
                <w:szCs w:val="15"/>
                <w:color w:val="auto"/>
              </w:rPr>
            </w:pPr>
          </w:p>
        </w:tc>
        <w:tc>
          <w:tcPr>
            <w:tcW w:w="200" w:type="dxa"/>
            <w:vAlign w:val="bottom"/>
            <w:tcBorders>
              <w:top w:val="single" w:sz="8" w:color="DBDBDB"/>
              <w:bottom w:val="single" w:sz="8" w:color="auto"/>
            </w:tcBorders>
            <w:shd w:val="clear" w:color="auto" w:fill="DBDBDB"/>
          </w:tcPr>
          <w:p>
            <w:pPr>
              <w:spacing w:after="0"/>
              <w:rPr>
                <w:sz w:val="15"/>
                <w:szCs w:val="15"/>
                <w:color w:val="auto"/>
              </w:rPr>
            </w:pPr>
          </w:p>
        </w:tc>
        <w:tc>
          <w:tcPr>
            <w:tcW w:w="700" w:type="dxa"/>
            <w:vAlign w:val="bottom"/>
            <w:tcBorders>
              <w:top w:val="single" w:sz="8" w:color="DBDBDB"/>
              <w:bottom w:val="single" w:sz="8" w:color="auto"/>
              <w:right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026DCE"/>
              </w:rPr>
              <w:t>2019</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7"/>
        </w:trPr>
        <w:tc>
          <w:tcPr>
            <w:tcW w:w="38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Cost of sales, excluding amortization and impairment of</w:t>
            </w:r>
          </w:p>
        </w:tc>
        <w:tc>
          <w:tcPr>
            <w:tcW w:w="220" w:type="dxa"/>
            <w:vAlign w:val="bottom"/>
            <w:vMerge w:val="restart"/>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DDDDD"/>
            </w:tcBorders>
            <w:gridSpan w:val="2"/>
            <w:vMerge w:val="restart"/>
            <w:shd w:val="clear" w:color="auto" w:fill="DDDDDD"/>
          </w:tcPr>
          <w:p>
            <w:pPr>
              <w:jc w:val="right"/>
              <w:ind w:right="8"/>
              <w:spacing w:after="0"/>
              <w:rPr>
                <w:sz w:val="20"/>
                <w:szCs w:val="20"/>
                <w:color w:val="auto"/>
              </w:rPr>
            </w:pPr>
            <w:r>
              <w:rPr>
                <w:rFonts w:ascii="Arial" w:cs="Arial" w:eastAsia="Arial" w:hAnsi="Arial"/>
                <w:sz w:val="14"/>
                <w:szCs w:val="14"/>
                <w:color w:val="2573BA"/>
              </w:rPr>
              <w:t>1,805.2</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1,955.4</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1,816.3</w:t>
            </w:r>
          </w:p>
        </w:tc>
        <w:tc>
          <w:tcPr>
            <w:tcW w:w="100" w:type="dxa"/>
            <w:vAlign w:val="bottom"/>
          </w:tcPr>
          <w:p>
            <w:pPr>
              <w:spacing w:after="0"/>
              <w:rPr>
                <w:sz w:val="12"/>
                <w:szCs w:val="12"/>
                <w:color w:val="auto"/>
              </w:rPr>
            </w:pPr>
          </w:p>
        </w:tc>
        <w:tc>
          <w:tcPr>
            <w:tcW w:w="960" w:type="dxa"/>
            <w:vAlign w:val="bottom"/>
            <w:gridSpan w:val="2"/>
            <w:vMerge w:val="restart"/>
            <w:shd w:val="clear" w:color="auto" w:fill="DDDDDD"/>
          </w:tcPr>
          <w:p>
            <w:pPr>
              <w:jc w:val="right"/>
              <w:ind w:right="20"/>
              <w:spacing w:after="0"/>
              <w:rPr>
                <w:sz w:val="20"/>
                <w:szCs w:val="20"/>
                <w:color w:val="auto"/>
              </w:rPr>
            </w:pPr>
            <w:r>
              <w:rPr>
                <w:rFonts w:ascii="Arial" w:cs="Arial" w:eastAsia="Arial" w:hAnsi="Arial"/>
                <w:sz w:val="14"/>
                <w:szCs w:val="14"/>
                <w:color w:val="2573BA"/>
              </w:rPr>
              <w:t>(7.7)%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2"/>
                <w:szCs w:val="12"/>
                <w:color w:val="auto"/>
              </w:rPr>
            </w:pPr>
          </w:p>
        </w:tc>
        <w:tc>
          <w:tcPr>
            <w:tcW w:w="2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0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(150.2)</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acquired intangible assets</w:t>
            </w:r>
          </w:p>
        </w:tc>
        <w:tc>
          <w:tcPr>
            <w:tcW w:w="220" w:type="dxa"/>
            <w:vAlign w:val="bottom"/>
            <w:vMerge w:val="continue"/>
            <w:shd w:val="clear" w:color="auto" w:fill="DDDDDD"/>
          </w:tcPr>
          <w:p>
            <w:pPr>
              <w:spacing w:after="0"/>
              <w:rPr>
                <w:sz w:val="14"/>
                <w:szCs w:val="14"/>
                <w:color w:val="auto"/>
              </w:rPr>
            </w:pPr>
          </w:p>
        </w:tc>
        <w:tc>
          <w:tcPr>
            <w:tcW w:w="800" w:type="dxa"/>
            <w:vAlign w:val="bottom"/>
            <w:tcBorders>
              <w:right w:val="single" w:sz="8" w:color="DDDDDD"/>
            </w:tcBorders>
            <w:gridSpan w:val="2"/>
            <w:vMerge w:val="continue"/>
            <w:shd w:val="clear" w:color="auto" w:fill="DDDDDD"/>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shd w:val="clear" w:color="auto" w:fill="DBDBDB"/>
          </w:tcPr>
          <w:p>
            <w:pPr>
              <w:spacing w:after="0"/>
              <w:rPr>
                <w:sz w:val="14"/>
                <w:szCs w:val="14"/>
                <w:color w:val="auto"/>
              </w:rPr>
            </w:pPr>
          </w:p>
        </w:tc>
        <w:tc>
          <w:tcPr>
            <w:tcW w:w="700" w:type="dxa"/>
            <w:vAlign w:val="bottom"/>
            <w:tcBorders>
              <w:right w:val="single" w:sz="8" w:color="DBDBDB"/>
            </w:tcBorders>
            <w:vMerge w:val="continue"/>
            <w:shd w:val="clear" w:color="auto" w:fill="DBDBDB"/>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DDDDDD"/>
          </w:tcPr>
          <w:p>
            <w:pPr>
              <w:spacing w:after="0"/>
              <w:rPr>
                <w:sz w:val="16"/>
                <w:szCs w:val="16"/>
                <w:color w:val="auto"/>
              </w:rPr>
            </w:pPr>
          </w:p>
        </w:tc>
        <w:tc>
          <w:tcPr>
            <w:tcW w:w="800" w:type="dxa"/>
            <w:vAlign w:val="bottom"/>
            <w:tcBorders>
              <w:right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3,990.9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2,280.6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2,597.2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75.0</w:t>
            </w:r>
          </w:p>
        </w:tc>
        <w:tc>
          <w:tcPr>
            <w:tcW w:w="1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1,710.3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(316.6)</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shd w:val="clear" w:color="auto" w:fill="DDDDDD"/>
          </w:tcPr>
          <w:p>
            <w:pPr>
              <w:spacing w:after="0"/>
              <w:rPr>
                <w:sz w:val="16"/>
                <w:szCs w:val="16"/>
                <w:color w:val="auto"/>
              </w:rPr>
            </w:pPr>
          </w:p>
        </w:tc>
        <w:tc>
          <w:tcPr>
            <w:tcW w:w="800" w:type="dxa"/>
            <w:vAlign w:val="bottom"/>
            <w:tcBorders>
              <w:right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2,504.5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2,374.7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2,106.3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5.5</w:t>
            </w:r>
          </w:p>
        </w:tc>
        <w:tc>
          <w:tcPr>
            <w:tcW w:w="1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129.8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268.4</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Amortization and impairment of acquired intangible assets</w:t>
            </w:r>
          </w:p>
        </w:tc>
        <w:tc>
          <w:tcPr>
            <w:tcW w:w="220" w:type="dxa"/>
            <w:vAlign w:val="bottom"/>
            <w:shd w:val="clear" w:color="auto" w:fill="DDDDDD"/>
          </w:tcPr>
          <w:p>
            <w:pPr>
              <w:spacing w:after="0"/>
              <w:rPr>
                <w:sz w:val="16"/>
                <w:szCs w:val="16"/>
                <w:color w:val="auto"/>
              </w:rPr>
            </w:pPr>
          </w:p>
        </w:tc>
        <w:tc>
          <w:tcPr>
            <w:tcW w:w="800" w:type="dxa"/>
            <w:vAlign w:val="bottom"/>
            <w:tcBorders>
              <w:right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464.8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489.9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747.3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(5.1)</w:t>
            </w:r>
          </w:p>
        </w:tc>
        <w:tc>
          <w:tcPr>
            <w:tcW w:w="1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(25.1)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188"/>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Collaboration profit (loss) sharing</w:t>
            </w:r>
          </w:p>
        </w:tc>
        <w:tc>
          <w:tcPr>
            <w:tcW w:w="220" w:type="dxa"/>
            <w:vAlign w:val="bottom"/>
            <w:shd w:val="clear" w:color="auto" w:fill="DDDDDD"/>
          </w:tcPr>
          <w:p>
            <w:pPr>
              <w:spacing w:after="0"/>
              <w:rPr>
                <w:sz w:val="16"/>
                <w:szCs w:val="16"/>
                <w:color w:val="auto"/>
              </w:rPr>
            </w:pPr>
          </w:p>
        </w:tc>
        <w:tc>
          <w:tcPr>
            <w:tcW w:w="800" w:type="dxa"/>
            <w:vAlign w:val="bottom"/>
            <w:tcBorders>
              <w:right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232.9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(3.6)</w:t>
            </w:r>
          </w:p>
        </w:tc>
        <w:tc>
          <w:tcPr>
            <w:tcW w:w="1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(8.7)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53"/>
        </w:trPr>
        <w:tc>
          <w:tcPr>
            <w:tcW w:w="38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(Gain) loss on divestiture of Hillerød, Denmark</w:t>
            </w:r>
          </w:p>
        </w:tc>
        <w:tc>
          <w:tcPr>
            <w:tcW w:w="220" w:type="dxa"/>
            <w:vAlign w:val="bottom"/>
            <w:shd w:val="clear" w:color="auto" w:fill="DDDDDD"/>
          </w:tcPr>
          <w:p>
            <w:pPr>
              <w:spacing w:after="0"/>
              <w:rPr>
                <w:sz w:val="13"/>
                <w:szCs w:val="13"/>
                <w:color w:val="auto"/>
              </w:rPr>
            </w:pPr>
          </w:p>
        </w:tc>
        <w:tc>
          <w:tcPr>
            <w:tcW w:w="800" w:type="dxa"/>
            <w:vAlign w:val="bottom"/>
            <w:tcBorders>
              <w:right w:val="single" w:sz="8" w:color="DDDDDD"/>
            </w:tcBorders>
            <w:gridSpan w:val="2"/>
            <w:vMerge w:val="restart"/>
            <w:shd w:val="clear" w:color="auto" w:fill="DDDDDD"/>
          </w:tcPr>
          <w:p>
            <w:pPr>
              <w:jc w:val="right"/>
              <w:spacing w:after="0"/>
              <w:rPr>
                <w:sz w:val="20"/>
                <w:szCs w:val="20"/>
                <w:color w:val="auto"/>
              </w:rPr>
            </w:pPr>
            <w:r>
              <w:rPr>
                <w:rFonts w:ascii="Arial" w:cs="Arial" w:eastAsia="Arial" w:hAnsi="Arial"/>
                <w:sz w:val="14"/>
                <w:szCs w:val="14"/>
                <w:color w:val="2573BA"/>
              </w:rPr>
              <w:t>(92.5)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DDDDDD"/>
          </w:tcPr>
          <w:p>
            <w:pPr>
              <w:jc w:val="right"/>
              <w:ind w:right="20"/>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3"/>
                <w:szCs w:val="13"/>
                <w:color w:val="auto"/>
              </w:rPr>
            </w:pPr>
          </w:p>
        </w:tc>
        <w:tc>
          <w:tcPr>
            <w:tcW w:w="70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(147.8)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72"/>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manufacturing operations</w:t>
            </w:r>
          </w:p>
        </w:tc>
        <w:tc>
          <w:tcPr>
            <w:tcW w:w="220" w:type="dxa"/>
            <w:vAlign w:val="bottom"/>
            <w:shd w:val="clear" w:color="auto" w:fill="DDDDDD"/>
          </w:tcPr>
          <w:p>
            <w:pPr>
              <w:spacing w:after="0"/>
              <w:rPr>
                <w:sz w:val="14"/>
                <w:szCs w:val="14"/>
                <w:color w:val="auto"/>
              </w:rPr>
            </w:pPr>
          </w:p>
        </w:tc>
        <w:tc>
          <w:tcPr>
            <w:tcW w:w="800" w:type="dxa"/>
            <w:vAlign w:val="bottom"/>
            <w:tcBorders>
              <w:right w:val="single" w:sz="8" w:color="DDDDDD"/>
            </w:tcBorders>
            <w:gridSpan w:val="2"/>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2"/>
            <w:vMerge w:val="continue"/>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00" w:type="dxa"/>
            <w:vAlign w:val="bottom"/>
            <w:tcBorders>
              <w:right w:val="single" w:sz="8" w:color="DBDBDB"/>
            </w:tcBorders>
            <w:vMerge w:val="continue"/>
            <w:shd w:val="clear" w:color="auto" w:fill="DBDBDB"/>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88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(Gain) loss on fair value remeasurement of contingent</w:t>
            </w:r>
          </w:p>
        </w:tc>
        <w:tc>
          <w:tcPr>
            <w:tcW w:w="220" w:type="dxa"/>
            <w:vAlign w:val="bottom"/>
            <w:shd w:val="clear" w:color="auto" w:fill="DDDDDD"/>
          </w:tcPr>
          <w:p>
            <w:pPr>
              <w:spacing w:after="0"/>
              <w:rPr>
                <w:sz w:val="13"/>
                <w:szCs w:val="13"/>
                <w:color w:val="auto"/>
              </w:rPr>
            </w:pPr>
          </w:p>
        </w:tc>
        <w:tc>
          <w:tcPr>
            <w:tcW w:w="800" w:type="dxa"/>
            <w:vAlign w:val="bottom"/>
            <w:tcBorders>
              <w:right w:val="single" w:sz="8" w:color="DDDDDD"/>
            </w:tcBorders>
            <w:gridSpan w:val="2"/>
            <w:vMerge w:val="restart"/>
            <w:shd w:val="clear" w:color="auto" w:fill="DDDDDD"/>
          </w:tcPr>
          <w:p>
            <w:pPr>
              <w:jc w:val="right"/>
              <w:spacing w:after="0"/>
              <w:rPr>
                <w:sz w:val="20"/>
                <w:szCs w:val="20"/>
                <w:color w:val="auto"/>
              </w:rPr>
            </w:pPr>
            <w:r>
              <w:rPr>
                <w:rFonts w:ascii="Arial" w:cs="Arial" w:eastAsia="Arial" w:hAnsi="Arial"/>
                <w:sz w:val="14"/>
                <w:szCs w:val="14"/>
                <w:color w:val="2573BA"/>
              </w:rPr>
              <w:t>(86.3)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c>
          <w:tcPr>
            <w:tcW w:w="8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35.5</w:t>
            </w:r>
          </w:p>
        </w:tc>
        <w:tc>
          <w:tcPr>
            <w:tcW w:w="140" w:type="dxa"/>
            <w:vAlign w:val="bottom"/>
            <w:shd w:val="clear" w:color="auto" w:fill="DDDDDD"/>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417.9</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(22.6)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72"/>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consideration</w:t>
            </w:r>
          </w:p>
        </w:tc>
        <w:tc>
          <w:tcPr>
            <w:tcW w:w="220" w:type="dxa"/>
            <w:vAlign w:val="bottom"/>
            <w:shd w:val="clear" w:color="auto" w:fill="DDDDDD"/>
          </w:tcPr>
          <w:p>
            <w:pPr>
              <w:spacing w:after="0"/>
              <w:rPr>
                <w:sz w:val="14"/>
                <w:szCs w:val="14"/>
                <w:color w:val="auto"/>
              </w:rPr>
            </w:pPr>
          </w:p>
        </w:tc>
        <w:tc>
          <w:tcPr>
            <w:tcW w:w="800" w:type="dxa"/>
            <w:vAlign w:val="bottom"/>
            <w:tcBorders>
              <w:right w:val="single" w:sz="8" w:color="DDDDDD"/>
            </w:tcBorders>
            <w:gridSpan w:val="2"/>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00" w:type="dxa"/>
            <w:vAlign w:val="bottom"/>
            <w:tcBorders>
              <w:right w:val="single" w:sz="8" w:color="DBDBDB"/>
            </w:tcBorders>
            <w:vMerge w:val="continue"/>
            <w:shd w:val="clear" w:color="auto" w:fill="DBDBDB"/>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220" w:type="dxa"/>
            <w:vAlign w:val="bottom"/>
            <w:shd w:val="clear" w:color="auto" w:fill="DDDDDD"/>
          </w:tcPr>
          <w:p>
            <w:pPr>
              <w:spacing w:after="0"/>
              <w:rPr>
                <w:sz w:val="16"/>
                <w:szCs w:val="16"/>
                <w:color w:val="auto"/>
              </w:rPr>
            </w:pPr>
          </w:p>
        </w:tc>
        <w:tc>
          <w:tcPr>
            <w:tcW w:w="800" w:type="dxa"/>
            <w:vAlign w:val="bottom"/>
            <w:tcBorders>
              <w:right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75.0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6"/>
                <w:szCs w:val="16"/>
                <w:color w:val="auto"/>
              </w:rPr>
            </w:pPr>
          </w:p>
        </w:tc>
        <w:tc>
          <w:tcPr>
            <w:tcW w:w="9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75.0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87"/>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220" w:type="dxa"/>
            <w:vAlign w:val="bottom"/>
            <w:tcBorders>
              <w:bottom w:val="single" w:sz="8" w:color="auto"/>
            </w:tcBorders>
            <w:shd w:val="clear" w:color="auto" w:fill="DDDDDD"/>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520" w:type="dxa"/>
            <w:vAlign w:val="bottom"/>
            <w:tcBorders>
              <w:bottom w:val="single" w:sz="8" w:color="auto"/>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960" w:type="dxa"/>
            <w:vAlign w:val="bottom"/>
            <w:tcBorders>
              <w:bottom w:val="single" w:sz="8" w:color="auto"/>
            </w:tcBorders>
            <w:gridSpan w:val="2"/>
            <w:shd w:val="clear" w:color="auto" w:fill="DDDDDD"/>
          </w:tcPr>
          <w:p>
            <w:pPr>
              <w:jc w:val="right"/>
              <w:ind w:right="20"/>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(1.5)</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3"/>
        </w:trPr>
        <w:tc>
          <w:tcPr>
            <w:tcW w:w="3880" w:type="dxa"/>
            <w:vAlign w:val="bottom"/>
            <w:gridSpan w:val="2"/>
          </w:tcPr>
          <w:p>
            <w:pPr>
              <w:ind w:left="360"/>
              <w:spacing w:after="0"/>
              <w:rPr>
                <w:sz w:val="20"/>
                <w:szCs w:val="20"/>
                <w:color w:val="auto"/>
              </w:rPr>
            </w:pPr>
            <w:r>
              <w:rPr>
                <w:rFonts w:ascii="Arial" w:cs="Arial" w:eastAsia="Arial" w:hAnsi="Arial"/>
                <w:sz w:val="14"/>
                <w:szCs w:val="14"/>
                <w:color w:val="auto"/>
              </w:rPr>
              <w:t>Total cost and expenses</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DDDDD"/>
            </w:tcBorders>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8,894.5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7,335.3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7,564.3</w:t>
            </w:r>
          </w:p>
        </w:tc>
        <w:tc>
          <w:tcPr>
            <w:tcW w:w="100" w:type="dxa"/>
            <w:vAlign w:val="bottom"/>
          </w:tcPr>
          <w:p>
            <w:pPr>
              <w:spacing w:after="0"/>
              <w:rPr>
                <w:sz w:val="17"/>
                <w:szCs w:val="17"/>
                <w:color w:val="auto"/>
              </w:rPr>
            </w:pPr>
          </w:p>
        </w:tc>
        <w:tc>
          <w:tcPr>
            <w:tcW w:w="960" w:type="dxa"/>
            <w:vAlign w:val="bottom"/>
            <w:gridSpan w:val="2"/>
            <w:shd w:val="clear" w:color="auto" w:fill="DDDDDD"/>
          </w:tcPr>
          <w:p>
            <w:pPr>
              <w:jc w:val="right"/>
              <w:ind w:right="20"/>
              <w:spacing w:after="0"/>
              <w:rPr>
                <w:sz w:val="20"/>
                <w:szCs w:val="20"/>
                <w:color w:val="auto"/>
              </w:rPr>
            </w:pPr>
            <w:r>
              <w:rPr>
                <w:rFonts w:ascii="Arial" w:cs="Arial" w:eastAsia="Arial" w:hAnsi="Arial"/>
                <w:sz w:val="14"/>
                <w:szCs w:val="14"/>
                <w:color w:val="2573BA"/>
              </w:rPr>
              <w:t>21.3 %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1,559.2</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-1602105</wp:posOffset>
            </wp:positionV>
            <wp:extent cx="514350" cy="6940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 cy="6940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firstLine="202"/>
        <w:spacing w:after="0" w:line="287" w:lineRule="auto"/>
        <w:rPr>
          <w:sz w:val="20"/>
          <w:szCs w:val="20"/>
          <w:color w:val="auto"/>
        </w:rPr>
      </w:pPr>
      <w:r>
        <w:rPr>
          <w:rFonts w:ascii="Arial" w:cs="Arial" w:eastAsia="Arial" w:hAnsi="Arial"/>
          <w:sz w:val="18"/>
          <w:szCs w:val="18"/>
          <w:b w:val="1"/>
          <w:bCs w:val="1"/>
          <w:i w:val="1"/>
          <w:iCs w:val="1"/>
          <w:color w:val="2573BA"/>
        </w:rPr>
        <w:t>Cost of Sales, Excluding Amortization and Impairment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560" w:firstLine="243"/>
        <w:spacing w:after="0" w:line="256" w:lineRule="auto"/>
        <w:rPr>
          <w:sz w:val="20"/>
          <w:szCs w:val="20"/>
          <w:color w:val="auto"/>
        </w:rPr>
      </w:pPr>
      <w:r>
        <w:rPr>
          <w:rFonts w:ascii="Arial" w:cs="Arial" w:eastAsia="Arial" w:hAnsi="Arial"/>
          <w:sz w:val="18"/>
          <w:szCs w:val="18"/>
          <w:color w:val="auto"/>
        </w:rPr>
        <w:t>Cost of sales, as a percentage of total revenues, were 13.4%, 13.6% and 13.5% for the years ended December 31, 2020, 2019 and 2018, respectively.</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Product Cost of Sales</w:t>
      </w:r>
    </w:p>
    <w:p>
      <w:pPr>
        <w:spacing w:after="0" w:line="108" w:lineRule="exact"/>
        <w:rPr>
          <w:sz w:val="20"/>
          <w:szCs w:val="20"/>
          <w:color w:val="auto"/>
        </w:rPr>
      </w:pPr>
    </w:p>
    <w:p>
      <w:pPr>
        <w:ind w:right="680" w:firstLine="445"/>
        <w:spacing w:after="0" w:line="252" w:lineRule="auto"/>
        <w:rPr>
          <w:sz w:val="20"/>
          <w:szCs w:val="20"/>
          <w:color w:val="auto"/>
        </w:rPr>
      </w:pPr>
      <w:r>
        <w:rPr>
          <w:rFonts w:ascii="Arial" w:cs="Arial" w:eastAsia="Arial" w:hAnsi="Arial"/>
          <w:sz w:val="18"/>
          <w:szCs w:val="18"/>
          <w:color w:val="auto"/>
        </w:rPr>
        <w:t>For 2020 compared to 2019, the decrease in product cost of sales was primarily due to lower cost of sales from contract manufacturing agreements, primarily resulting from the sale of hemophilia inventory, with a cost basis of $173.5 million, to Bioverativ in the first quarter of 2019 and FUJIFILM assuming responsibility for the manufacture of clinical and commercial quantities of bulk drug substance of biosimilar products for Samsung Bioepis during the third quarter of 2019.</w:t>
      </w:r>
    </w:p>
    <w:p>
      <w:pPr>
        <w:spacing w:after="0" w:line="151" w:lineRule="exact"/>
        <w:rPr>
          <w:sz w:val="20"/>
          <w:szCs w:val="20"/>
          <w:color w:val="auto"/>
        </w:rPr>
      </w:pPr>
    </w:p>
    <w:p>
      <w:pPr>
        <w:ind w:right="860" w:firstLine="445"/>
        <w:spacing w:after="0" w:line="254" w:lineRule="auto"/>
        <w:rPr>
          <w:sz w:val="20"/>
          <w:szCs w:val="20"/>
          <w:color w:val="auto"/>
        </w:rPr>
      </w:pPr>
      <w:r>
        <w:rPr>
          <w:rFonts w:ascii="Arial" w:cs="Arial" w:eastAsia="Arial" w:hAnsi="Arial"/>
          <w:sz w:val="18"/>
          <w:szCs w:val="18"/>
          <w:color w:val="auto"/>
        </w:rPr>
        <w:t>Inventory amounts written down as a result of excess, obsolescence, unmarketability or other reasons totaled $26.6 million, $52.2 million and $ 41.9 million for the years ended December 31, 2020, 2019 and 2018, respectively.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Royalty Cost of Sales</w:t>
      </w:r>
    </w:p>
    <w:p>
      <w:pPr>
        <w:spacing w:after="0" w:line="122" w:lineRule="exact"/>
        <w:rPr>
          <w:sz w:val="20"/>
          <w:szCs w:val="20"/>
          <w:color w:val="auto"/>
        </w:rPr>
      </w:pPr>
    </w:p>
    <w:p>
      <w:pPr>
        <w:jc w:val="both"/>
        <w:ind w:right="560" w:firstLine="445"/>
        <w:spacing w:after="0" w:line="256" w:lineRule="auto"/>
        <w:rPr>
          <w:sz w:val="20"/>
          <w:szCs w:val="20"/>
          <w:color w:val="auto"/>
        </w:rPr>
      </w:pPr>
      <w:r>
        <w:rPr>
          <w:rFonts w:ascii="Arial" w:cs="Arial" w:eastAsia="Arial" w:hAnsi="Arial"/>
          <w:sz w:val="18"/>
          <w:szCs w:val="18"/>
          <w:color w:val="auto"/>
        </w:rPr>
        <w:t>For 2020 compared to 2019, the decrease in royalty cost of sales was primarily due to lower royalties payable on lower sales of AVONEX and SPINRAZA.</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27305</wp:posOffset>
            </wp:positionV>
            <wp:extent cx="2717165" cy="3129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17165" cy="3129280"/>
                    </a:xfrm>
                    <a:prstGeom prst="rect">
                      <a:avLst/>
                    </a:prstGeom>
                    <a:noFill/>
                  </pic:spPr>
                </pic:pic>
              </a:graphicData>
            </a:graphic>
          </wp:anchor>
        </w:drawing>
      </w:r>
    </w:p>
    <w:p>
      <w:pPr>
        <w:sectPr>
          <w:pgSz w:w="11900" w:h="16838" w:orient="portrait"/>
          <w:cols w:equalWidth="0" w:num="2">
            <w:col w:w="5720" w:space="380"/>
            <w:col w:w="4039"/>
          </w:cols>
          <w:pgMar w:left="320" w:top="144" w:right="1440"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2717165" cy="59404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7165" cy="594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We support our drug discovery and development efforts through the commitment of significant resources to discovery, research and development programs and business development opportunities.</w:t>
      </w:r>
    </w:p>
    <w:p>
      <w:pPr>
        <w:spacing w:after="0" w:line="15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development costs in the table above and are not allocated to a specific program or stage.</w:t>
      </w:r>
    </w:p>
    <w:p>
      <w:pPr>
        <w:spacing w:after="0" w:line="14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55"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For 2020 compared to 2019, the increase in research and development expense was primarily due to approximately $1,084.0 million, $601.3 million and $208.0 million of upfront payments made in connection with entering into our collaborations with Sage, Denali and Sangamo, respectively.</w:t>
      </w:r>
    </w:p>
    <w:p>
      <w:pPr>
        <w:spacing w:after="0" w:line="151"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2020 we recorded significant upfront payments related to our new collaborations as part of research and development expense. Excluding upfront payments, we expect our core research and development expense to increase in 2021, driven by continued investment in our pipeline, including significant investments related to the new assets in the Sage collaboration. We intend to continue committing significant resources to targeted research and development opportunities where there is a significant unmet need and where a drug candidate has the potential to be highly differentiated.</w:t>
      </w:r>
    </w:p>
    <w:p>
      <w:pPr>
        <w:spacing w:after="0" w:line="9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At December 31, 2020, we capitalized approximately $93.8 million of pre-launch inventory for aducanumab. If aducanumab does not receive regulatory approval in the U.S., we would expense this inventory as research and development expense and, under the terms of the Aducanumab Collaboration Agreement, Eisai would reimburse us for 45.0% of the costs.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Milestone and Upfront Expenses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 for 2020 includes:</w:t>
      </w:r>
    </w:p>
    <w:p>
      <w:pPr>
        <w:spacing w:after="0" w:line="104" w:lineRule="exact"/>
        <w:rPr>
          <w:sz w:val="20"/>
          <w:szCs w:val="20"/>
          <w:color w:val="auto"/>
        </w:rPr>
      </w:pPr>
    </w:p>
    <w:p>
      <w:pPr>
        <w:ind w:left="500" w:hanging="333"/>
        <w:spacing w:after="0" w:line="254" w:lineRule="auto"/>
        <w:tabs>
          <w:tab w:leader="none" w:pos="4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$1,084.0 million charge to research and development expense in connection with the upfront payment associated with entering into our collaboration with Sage in the fourth quarter of 2020;</w:t>
      </w:r>
    </w:p>
    <w:p>
      <w:pPr>
        <w:spacing w:after="0" w:line="1545" w:lineRule="exact"/>
        <w:rPr>
          <w:sz w:val="20"/>
          <w:szCs w:val="20"/>
          <w:color w:val="auto"/>
        </w:rPr>
      </w:pPr>
    </w:p>
    <w:p>
      <w:pPr>
        <w:sectPr>
          <w:pgSz w:w="11900" w:h="16838" w:orient="portrait"/>
          <w:cols w:equalWidth="0" w:num="2">
            <w:col w:w="5220" w:space="680"/>
            <w:col w:w="5220"/>
          </w:cols>
          <w:pgMar w:left="320" w:top="144" w:right="459" w:bottom="1440" w:gutter="0" w:footer="0" w:header="0"/>
        </w:sect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 w:hanging="330"/>
        <w:spacing w:after="0" w:line="254" w:lineRule="auto"/>
        <w:tabs>
          <w:tab w:leader="none" w:pos="4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$601.3 million charge to research and development expense in connection with the upfront payment associated with entering into our collaboration with Denali in the third quarter of 2020; and</w:t>
      </w:r>
    </w:p>
    <w:p>
      <w:pPr>
        <w:spacing w:after="0" w:line="68" w:lineRule="exact"/>
        <w:rPr>
          <w:rFonts w:ascii="Arial" w:cs="Arial" w:eastAsia="Arial" w:hAnsi="Arial"/>
          <w:sz w:val="18"/>
          <w:szCs w:val="18"/>
          <w:color w:val="auto"/>
        </w:rPr>
      </w:pPr>
    </w:p>
    <w:p>
      <w:pPr>
        <w:ind w:left="500" w:hanging="330"/>
        <w:spacing w:after="0" w:line="254" w:lineRule="auto"/>
        <w:tabs>
          <w:tab w:leader="none" w:pos="4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$208.0 million charge to research and development expense in connection with the upfront payment associated with entering into our collaboration with Sangamo in the second quarter of 2020.</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 for 2019 includes:</w:t>
      </w:r>
    </w:p>
    <w:p>
      <w:pPr>
        <w:spacing w:after="0" w:line="104" w:lineRule="exact"/>
        <w:rPr>
          <w:sz w:val="20"/>
          <w:szCs w:val="20"/>
          <w:color w:val="auto"/>
        </w:rPr>
      </w:pPr>
    </w:p>
    <w:p>
      <w:pPr>
        <w:ind w:left="500" w:right="40" w:hanging="330"/>
        <w:spacing w:after="0" w:line="254" w:lineRule="auto"/>
        <w:tabs>
          <w:tab w:leader="none" w:pos="4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$63.0 million charge to research and development expense in connection with our agreement with Samsung Bioepis to secure the exclusive rights to commercialize two potential ophthalmology biosimilar products; and</w:t>
      </w:r>
    </w:p>
    <w:p>
      <w:pPr>
        <w:spacing w:after="0" w:line="82" w:lineRule="exact"/>
        <w:rPr>
          <w:rFonts w:ascii="Arial" w:cs="Arial" w:eastAsia="Arial" w:hAnsi="Arial"/>
          <w:sz w:val="18"/>
          <w:szCs w:val="18"/>
          <w:color w:val="auto"/>
        </w:rPr>
      </w:pPr>
    </w:p>
    <w:p>
      <w:pPr>
        <w:ind w:left="500" w:right="20" w:hanging="330"/>
        <w:spacing w:after="0" w:line="253" w:lineRule="auto"/>
        <w:tabs>
          <w:tab w:leader="none" w:pos="4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$45.0 million charge to research and development expense upon the exercise of our option to obtain a worldwide, exclusive, royalty-bearing license from Ionis to develop and commercialize BIIB080 (tau ASO) for the potential treatment of Alzheimer's disease.</w:t>
      </w:r>
    </w:p>
    <w:p>
      <w:pPr>
        <w:spacing w:after="0" w:line="15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The upfront payments associated with these collaborations are classified as research and development expense as the programs they relate to had not achieved regulatory approval as of the payment date.</w:t>
      </w:r>
    </w:p>
    <w:p>
      <w:pPr>
        <w:spacing w:after="0" w:line="150"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 xml:space="preserve">For additional information about these collaboration arrangements,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Early Stage Programs</w:t>
      </w:r>
    </w:p>
    <w:p>
      <w:pPr>
        <w:spacing w:after="0" w:line="108" w:lineRule="exact"/>
        <w:rPr>
          <w:sz w:val="20"/>
          <w:szCs w:val="20"/>
          <w:color w:val="auto"/>
        </w:rPr>
      </w:pPr>
    </w:p>
    <w:p>
      <w:pPr>
        <w:ind w:right="440" w:firstLine="445"/>
        <w:spacing w:after="0" w:line="256" w:lineRule="auto"/>
        <w:rPr>
          <w:sz w:val="20"/>
          <w:szCs w:val="20"/>
          <w:color w:val="auto"/>
        </w:rPr>
      </w:pPr>
      <w:r>
        <w:rPr>
          <w:rFonts w:ascii="Arial" w:cs="Arial" w:eastAsia="Arial" w:hAnsi="Arial"/>
          <w:sz w:val="18"/>
          <w:szCs w:val="18"/>
          <w:color w:val="auto"/>
        </w:rPr>
        <w:t>For 2020 compared to 2019, the decrease in spending related to our early stage programs was primarily due to a decrease in costs associated with:</w:t>
      </w:r>
    </w:p>
    <w:p>
      <w:pPr>
        <w:spacing w:after="0" w:line="80" w:lineRule="exact"/>
        <w:rPr>
          <w:sz w:val="20"/>
          <w:szCs w:val="20"/>
          <w:color w:val="auto"/>
        </w:rPr>
      </w:pPr>
    </w:p>
    <w:p>
      <w:pPr>
        <w:ind w:left="500" w:right="760" w:hanging="330"/>
        <w:spacing w:after="0" w:line="261" w:lineRule="auto"/>
        <w:tabs>
          <w:tab w:leader="none" w:pos="4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discontinuation of gosuranemab in progressive supraneuclear palsy;</w:t>
      </w:r>
    </w:p>
    <w:p>
      <w:pPr>
        <w:spacing w:after="0" w:line="76" w:lineRule="exact"/>
        <w:rPr>
          <w:rFonts w:ascii="Arial" w:cs="Arial" w:eastAsia="Arial" w:hAnsi="Arial"/>
          <w:sz w:val="18"/>
          <w:szCs w:val="18"/>
          <w:color w:val="auto"/>
        </w:rPr>
      </w:pPr>
    </w:p>
    <w:p>
      <w:pPr>
        <w:ind w:left="440" w:hanging="270"/>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advancement of toferson in ALS into late stage; and</w:t>
      </w:r>
    </w:p>
    <w:p>
      <w:pPr>
        <w:spacing w:after="0" w:line="90" w:lineRule="exact"/>
        <w:rPr>
          <w:rFonts w:ascii="Arial" w:cs="Arial" w:eastAsia="Arial" w:hAnsi="Arial"/>
          <w:sz w:val="18"/>
          <w:szCs w:val="18"/>
          <w:color w:val="auto"/>
        </w:rPr>
      </w:pPr>
    </w:p>
    <w:p>
      <w:pPr>
        <w:ind w:left="500" w:right="200" w:hanging="330"/>
        <w:spacing w:after="0" w:line="256" w:lineRule="auto"/>
        <w:tabs>
          <w:tab w:leader="none" w:pos="4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discontinuation of the Phase 2b study of BG00011 for the potential treatment of idiopathic pulmonary fibrosis (IPF).</w:t>
      </w:r>
    </w:p>
    <w:p>
      <w:pPr>
        <w:spacing w:after="0" w:line="148"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These decreases were partially offset by an increase in costs associated with:</w:t>
      </w:r>
    </w:p>
    <w:p>
      <w:pPr>
        <w:spacing w:after="0" w:line="76" w:lineRule="exact"/>
        <w:rPr>
          <w:sz w:val="20"/>
          <w:szCs w:val="20"/>
          <w:color w:val="auto"/>
        </w:rPr>
      </w:pPr>
    </w:p>
    <w:p>
      <w:pPr>
        <w:ind w:left="500" w:right="500" w:hanging="330"/>
        <w:spacing w:after="0" w:line="261" w:lineRule="auto"/>
        <w:tabs>
          <w:tab w:leader="none" w:pos="4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spending in the development of BIIB112 (RPGR gene therapy) in XLRP;</w:t>
      </w:r>
    </w:p>
    <w:p>
      <w:pPr>
        <w:spacing w:after="0" w:line="76" w:lineRule="exact"/>
        <w:rPr>
          <w:rFonts w:ascii="Arial" w:cs="Arial" w:eastAsia="Arial" w:hAnsi="Arial"/>
          <w:sz w:val="18"/>
          <w:szCs w:val="18"/>
          <w:color w:val="auto"/>
        </w:rPr>
      </w:pPr>
    </w:p>
    <w:p>
      <w:pPr>
        <w:ind w:left="500" w:right="420" w:hanging="330"/>
        <w:spacing w:after="0" w:line="261" w:lineRule="auto"/>
        <w:tabs>
          <w:tab w:leader="none" w:pos="4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spending in the development of BIIB080 in Alzheimer's disease;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right="940" w:hanging="333"/>
        <w:spacing w:after="0" w:line="261"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spending in the development of gosuranemab in Alzheimer's disease.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538235"/>
        </w:rPr>
        <w:t>Late Stage Programs</w:t>
      </w:r>
    </w:p>
    <w:p>
      <w:pPr>
        <w:spacing w:after="0" w:line="108" w:lineRule="exact"/>
        <w:rPr>
          <w:sz w:val="20"/>
          <w:szCs w:val="20"/>
          <w:color w:val="auto"/>
        </w:rPr>
      </w:pPr>
    </w:p>
    <w:p>
      <w:pPr>
        <w:ind w:left="380" w:right="340" w:firstLine="445"/>
        <w:spacing w:after="0" w:line="291" w:lineRule="auto"/>
        <w:rPr>
          <w:sz w:val="20"/>
          <w:szCs w:val="20"/>
          <w:color w:val="auto"/>
        </w:rPr>
      </w:pPr>
      <w:r>
        <w:rPr>
          <w:rFonts w:ascii="Arial" w:cs="Arial" w:eastAsia="Arial" w:hAnsi="Arial"/>
          <w:sz w:val="17"/>
          <w:szCs w:val="17"/>
          <w:color w:val="auto"/>
        </w:rPr>
        <w:t>For 2020 compared to 2019, the decrease in spending associated with our late stage programs was primarily due to:</w:t>
      </w:r>
    </w:p>
    <w:p>
      <w:pPr>
        <w:spacing w:after="0" w:line="52" w:lineRule="exact"/>
        <w:rPr>
          <w:sz w:val="20"/>
          <w:szCs w:val="20"/>
          <w:color w:val="auto"/>
        </w:rPr>
      </w:pPr>
    </w:p>
    <w:p>
      <w:pPr>
        <w:ind w:left="880" w:right="20" w:hanging="333"/>
        <w:spacing w:after="0" w:line="254" w:lineRule="auto"/>
        <w:tabs>
          <w:tab w:leader="none" w:pos="8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in spending related to the discontinuation of the global Phase 3 trials of aducanumab, net of reimbursement from our collaboration partner Eisai in the first quarter of 2019;</w:t>
      </w:r>
    </w:p>
    <w:p>
      <w:pPr>
        <w:spacing w:after="0" w:line="82" w:lineRule="exact"/>
        <w:rPr>
          <w:rFonts w:ascii="Arial" w:cs="Arial" w:eastAsia="Arial" w:hAnsi="Arial"/>
          <w:sz w:val="18"/>
          <w:szCs w:val="18"/>
          <w:color w:val="auto"/>
        </w:rPr>
      </w:pPr>
    </w:p>
    <w:p>
      <w:pPr>
        <w:ind w:left="880" w:right="40" w:hanging="333"/>
        <w:spacing w:after="0" w:line="273" w:lineRule="auto"/>
        <w:tabs>
          <w:tab w:leader="none" w:pos="8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decrease in spending related to the discontinuation of the global Phase 3 trials, MISSION AD1 and MISSION AD2, of elenbecestat (development code: E2609) in patients with early Alzheimer's disease in the third quarter of 2019; and</w:t>
      </w:r>
    </w:p>
    <w:p>
      <w:pPr>
        <w:spacing w:after="0" w:line="55" w:lineRule="exact"/>
        <w:rPr>
          <w:rFonts w:ascii="Arial" w:cs="Arial" w:eastAsia="Arial" w:hAnsi="Arial"/>
          <w:sz w:val="17"/>
          <w:szCs w:val="17"/>
          <w:color w:val="auto"/>
        </w:rPr>
      </w:pPr>
    </w:p>
    <w:p>
      <w:pPr>
        <w:ind w:left="880" w:right="220" w:hanging="333"/>
        <w:spacing w:after="0" w:line="261" w:lineRule="auto"/>
        <w:tabs>
          <w:tab w:leader="none" w:pos="8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in spending related to VUMERITY, which was approved by the FDA in the fourth quarter of 2019.</w:t>
      </w:r>
    </w:p>
    <w:p>
      <w:pPr>
        <w:spacing w:after="0" w:line="144" w:lineRule="exact"/>
        <w:rPr>
          <w:sz w:val="20"/>
          <w:szCs w:val="20"/>
          <w:color w:val="auto"/>
        </w:rPr>
      </w:pPr>
    </w:p>
    <w:p>
      <w:pPr>
        <w:ind w:left="380" w:right="260" w:firstLine="567"/>
        <w:spacing w:after="0" w:line="253" w:lineRule="auto"/>
        <w:rPr>
          <w:sz w:val="20"/>
          <w:szCs w:val="20"/>
          <w:color w:val="auto"/>
        </w:rPr>
      </w:pPr>
      <w:r>
        <w:rPr>
          <w:rFonts w:ascii="Arial" w:cs="Arial" w:eastAsia="Arial" w:hAnsi="Arial"/>
          <w:sz w:val="18"/>
          <w:szCs w:val="18"/>
          <w:color w:val="auto"/>
        </w:rPr>
        <w:t>These decreases were partially offset by an increase in spending due to the advancement of toferson in ALS into late stage, an increase in spending related to BAN2401 in early Alzheimer's disease, our EMBARK redosing study for aducanumab and BIIB111 (timrepigene emparvovec) in CHM.</w:t>
      </w:r>
    </w:p>
    <w:p>
      <w:pPr>
        <w:spacing w:after="0" w:line="151" w:lineRule="exact"/>
        <w:rPr>
          <w:sz w:val="20"/>
          <w:szCs w:val="20"/>
          <w:color w:val="auto"/>
        </w:rPr>
      </w:pPr>
    </w:p>
    <w:p>
      <w:pPr>
        <w:ind w:left="380" w:right="60" w:firstLine="567"/>
        <w:spacing w:after="0" w:line="252" w:lineRule="auto"/>
        <w:rPr>
          <w:sz w:val="20"/>
          <w:szCs w:val="20"/>
          <w:color w:val="auto"/>
        </w:rPr>
      </w:pPr>
      <w:r>
        <w:rPr>
          <w:rFonts w:ascii="Arial" w:cs="Arial" w:eastAsia="Arial" w:hAnsi="Arial"/>
          <w:sz w:val="18"/>
          <w:szCs w:val="18"/>
          <w:color w:val="auto"/>
        </w:rPr>
        <w:t>In the first quarter of 2019, as a result of the decision to discontinue the Phase 3 EMERGE and ENGAGE trials following a futility analysis, we accrued approximately $45.0 million related to the termination of clinical trials and research and development contracts net of the expected 45.0% Eisai reimbursement of development costs incurred by the collaboration for the advancement of aducanumab.</w:t>
      </w:r>
    </w:p>
    <w:p>
      <w:pPr>
        <w:spacing w:after="0" w:line="153" w:lineRule="exact"/>
        <w:rPr>
          <w:sz w:val="20"/>
          <w:szCs w:val="20"/>
          <w:color w:val="auto"/>
        </w:rPr>
      </w:pPr>
    </w:p>
    <w:p>
      <w:pPr>
        <w:ind w:left="380" w:firstLine="567"/>
        <w:spacing w:after="0" w:line="252" w:lineRule="auto"/>
        <w:rPr>
          <w:sz w:val="20"/>
          <w:szCs w:val="20"/>
          <w:color w:val="auto"/>
        </w:rPr>
      </w:pPr>
      <w:r>
        <w:rPr>
          <w:rFonts w:ascii="Arial" w:cs="Arial" w:eastAsia="Arial" w:hAnsi="Arial"/>
          <w:sz w:val="18"/>
          <w:szCs w:val="18"/>
          <w:color w:val="auto"/>
        </w:rPr>
        <w:t>In July 2020 we completed the submission of a BLA for the approval of aducanumab to the FDA. In August 2020 the FDA accepted the BLA and granted Priority Review with a PDUFA action date on March 7, 2021. In January 2021 the FDA extended the review period for the BLA for aducanumab by three months. The updated PDUFA action date is June 7, 2021.</w:t>
      </w:r>
    </w:p>
    <w:p>
      <w:pPr>
        <w:spacing w:after="0" w:line="154" w:lineRule="exact"/>
        <w:rPr>
          <w:sz w:val="20"/>
          <w:szCs w:val="20"/>
          <w:color w:val="auto"/>
        </w:rPr>
      </w:pPr>
    </w:p>
    <w:p>
      <w:pPr>
        <w:ind w:left="380" w:right="40" w:firstLine="567"/>
        <w:spacing w:after="0" w:line="252" w:lineRule="auto"/>
        <w:rPr>
          <w:sz w:val="20"/>
          <w:szCs w:val="20"/>
          <w:color w:val="auto"/>
        </w:rPr>
      </w:pPr>
      <w:r>
        <w:rPr>
          <w:rFonts w:ascii="Arial" w:cs="Arial" w:eastAsia="Arial" w:hAnsi="Arial"/>
          <w:sz w:val="18"/>
          <w:szCs w:val="18"/>
          <w:color w:val="auto"/>
        </w:rPr>
        <w:t>In March 2019 Eisai initiated a global Phase 3 trial for the development of BAN2401 in early Alzheimer's disease. Under our collaboration arrangement, Eisai serves as the global operational and regulatory lead for BAN2401 and all costs, including research, development, sales and marketing expenses, are shared equally between us and Eisai.</w:t>
      </w:r>
    </w:p>
    <w:p>
      <w:pPr>
        <w:spacing w:after="0" w:line="154" w:lineRule="exact"/>
        <w:rPr>
          <w:sz w:val="20"/>
          <w:szCs w:val="20"/>
          <w:color w:val="auto"/>
        </w:rPr>
      </w:pPr>
    </w:p>
    <w:p>
      <w:pPr>
        <w:ind w:left="380" w:right="80" w:firstLine="567"/>
        <w:spacing w:after="0" w:line="256"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report.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057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2020 compared to 2019, the increase in selling, general and administrative expenses was primarily due to increased commercial and medical investments in support of pre-launch activities associated with the potential regulatory approval of aducanumab.</w:t>
      </w:r>
    </w:p>
    <w:p>
      <w:pPr>
        <w:spacing w:after="0" w:line="15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2021 we expect selling, general and administrative costs, including headcount and commercial infrastructure, to significantly increase as we support activities associated with the potential regulatory approvals of aducanumab in the U.S. and rest of world markets.</w:t>
      </w:r>
    </w:p>
    <w:p>
      <w:pPr>
        <w:spacing w:after="0" w:line="129" w:lineRule="exact"/>
        <w:rPr>
          <w:sz w:val="20"/>
          <w:szCs w:val="20"/>
          <w:color w:val="auto"/>
        </w:rPr>
      </w:pPr>
    </w:p>
    <w:p>
      <w:pPr>
        <w:ind w:right="560" w:firstLine="202"/>
        <w:spacing w:after="0" w:line="287" w:lineRule="auto"/>
        <w:rPr>
          <w:sz w:val="20"/>
          <w:szCs w:val="20"/>
          <w:color w:val="auto"/>
        </w:rPr>
      </w:pPr>
      <w:r>
        <w:rPr>
          <w:rFonts w:ascii="Arial" w:cs="Arial" w:eastAsia="Arial" w:hAnsi="Arial"/>
          <w:sz w:val="18"/>
          <w:szCs w:val="18"/>
          <w:b w:val="1"/>
          <w:bCs w:val="1"/>
          <w:i w:val="1"/>
          <w:iCs w:val="1"/>
          <w:color w:val="2573BA"/>
        </w:rPr>
        <w:t>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2057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our TYSABRI, AVONEX, SPINRAZA, VUMERITY and TECFIDERA (rest of world) products and other programs acquired through business combinations.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100" w:firstLine="445"/>
        <w:spacing w:after="0" w:line="252" w:lineRule="auto"/>
        <w:rPr>
          <w:sz w:val="20"/>
          <w:szCs w:val="20"/>
          <w:color w:val="auto"/>
        </w:rPr>
      </w:pPr>
      <w:r>
        <w:rPr>
          <w:rFonts w:ascii="Arial" w:cs="Arial" w:eastAsia="Arial" w:hAnsi="Arial"/>
          <w:sz w:val="18"/>
          <w:szCs w:val="18"/>
          <w:color w:val="auto"/>
        </w:rPr>
        <w:t>For the year ended December 31, 2020, amortization and impairment of acquired intangible assets reflects the impact of a $115.0 million impairment charge related to BIIB111, which was obtained as part of our acquisition of Nightstar Therapeutics plc (NST), a $75.4 million impairment charge related to BIIB054 and a $19.3 million impairment charge related to one of our other IPR&amp;D intangible assets.</w:t>
      </w:r>
    </w:p>
    <w:p>
      <w:pPr>
        <w:spacing w:after="0" w:line="153"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For the year ended December 31, 2019, amortization and impairment of acquired intangible assets reflects the impact of a $215.9 million impairment charge related to certain IPR&amp;D assets associated with the Phase 2b study of BG00011 for the potential treatment of IPF, which was discontinued in the third quarter of 2019.</w:t>
      </w:r>
    </w:p>
    <w:p>
      <w:pPr>
        <w:spacing w:after="0" w:line="154" w:lineRule="exact"/>
        <w:rPr>
          <w:sz w:val="20"/>
          <w:szCs w:val="20"/>
          <w:color w:val="auto"/>
        </w:rPr>
      </w:pPr>
    </w:p>
    <w:p>
      <w:pPr>
        <w:ind w:left="380" w:right="20" w:firstLine="445"/>
        <w:spacing w:after="0" w:line="254" w:lineRule="auto"/>
        <w:rPr>
          <w:sz w:val="20"/>
          <w:szCs w:val="20"/>
          <w:color w:val="auto"/>
        </w:rPr>
      </w:pPr>
      <w:r>
        <w:rPr>
          <w:rFonts w:ascii="Arial" w:cs="Arial" w:eastAsia="Arial" w:hAnsi="Arial"/>
          <w:sz w:val="18"/>
          <w:szCs w:val="18"/>
          <w:color w:val="auto"/>
        </w:rPr>
        <w:t>Amortization of acquired intangible assets, excluding impairment charges, totaled $255.1 million, $274.0 million and $381.2 million for the years ended December 31, 2020, 2019 and 2018, respectively.</w:t>
      </w:r>
    </w:p>
    <w:p>
      <w:pPr>
        <w:spacing w:after="0" w:line="150" w:lineRule="exact"/>
        <w:rPr>
          <w:sz w:val="20"/>
          <w:szCs w:val="20"/>
          <w:color w:val="auto"/>
        </w:rPr>
      </w:pPr>
    </w:p>
    <w:p>
      <w:pPr>
        <w:ind w:left="380" w:right="20" w:firstLine="445"/>
        <w:spacing w:after="0" w:line="254" w:lineRule="auto"/>
        <w:rPr>
          <w:sz w:val="20"/>
          <w:szCs w:val="20"/>
          <w:color w:val="auto"/>
        </w:rPr>
      </w:pPr>
      <w:r>
        <w:rPr>
          <w:rFonts w:ascii="Arial" w:cs="Arial" w:eastAsia="Arial" w:hAnsi="Arial"/>
          <w:sz w:val="18"/>
          <w:szCs w:val="18"/>
          <w:color w:val="auto"/>
        </w:rPr>
        <w:t>For 2020 compared to 2019, the decrease in amortization of acquired intangible assets, excluding impairment charges, was primarily due to a lower rate of amortization for acquired intangible assets.</w:t>
      </w:r>
    </w:p>
    <w:p>
      <w:pPr>
        <w:spacing w:after="0" w:line="150"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revenues of the relevant products. The occurrence of an adverse event could substantially increase the amount of amortization expense related to our acquired intangible assets as compared to previous periods or our current expectations, which may result in a significant negative impact on our future results of operations.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22" w:lineRule="exact"/>
        <w:rPr>
          <w:sz w:val="20"/>
          <w:szCs w:val="20"/>
          <w:color w:val="auto"/>
        </w:rPr>
      </w:pPr>
    </w:p>
    <w:p>
      <w:pPr>
        <w:ind w:left="380" w:right="60" w:firstLine="445"/>
        <w:spacing w:after="0" w:line="25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We review amounts capitalized as acquired IPR&amp;D for impairment annually, as of October 31, and whenever events or changes in circumstances indicate to us that the carrying value of the assets might not be recoverable.</w:t>
      </w:r>
    </w:p>
    <w:p>
      <w:pPr>
        <w:spacing w:after="0" w:line="153" w:lineRule="exact"/>
        <w:rPr>
          <w:sz w:val="20"/>
          <w:szCs w:val="20"/>
          <w:color w:val="auto"/>
        </w:rPr>
      </w:pPr>
    </w:p>
    <w:p>
      <w:pPr>
        <w:ind w:left="380" w:right="180" w:firstLine="445"/>
        <w:spacing w:after="0" w:line="271" w:lineRule="auto"/>
        <w:rPr>
          <w:sz w:val="20"/>
          <w:szCs w:val="20"/>
          <w:color w:val="auto"/>
        </w:rPr>
      </w:pPr>
      <w:r>
        <w:rPr>
          <w:rFonts w:ascii="Arial" w:cs="Arial" w:eastAsia="Arial" w:hAnsi="Arial"/>
          <w:sz w:val="17"/>
          <w:szCs w:val="17"/>
          <w:color w:val="auto"/>
        </w:rPr>
        <w:t>Overall, the value of our acquired IPR&amp;D assets is dependent upon several variables, including estimates of future revenues and the effects of competition, our ability to secure sufficient pricing in a competitive market, our ability to confirm safety and efficacy based on data from clinical trials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regulatory feedback, the level of anticipated development costs and the probability and timing of successfully advancing a particular research program from one clinical trial phase to the next. We are continually reevaluating our estimates concerning these and other variables, including our life cycle management strategies, research and development priorities and development risk, changes in program and portfolio economics and related impact of foreign currency exchange rates and economic trends and evaluating industry and company data regarding the productivity of clinical research and the development process. Changes in our estimates may result in a significant change to our valuation of our IPR&amp;D assets.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BIIB111</w:t>
      </w:r>
    </w:p>
    <w:p>
      <w:pPr>
        <w:spacing w:after="0" w:line="12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During the fourth quarter of 2020 we began experiencing third-party manufacturing delays that may impact our timeline for a potential filing of a BLA for BIIB111 for regulatory approval by up to one year. In addition, we determined that forecasted costs associated with advancing the BIIB111 program through Phase 3 development and potential commercialization will exceed our original estimates. We reassessed the fair value of the program based on these changes in assumptions and determined that the program was partially impaired. We recognized an impairment charge of $115.0 million during the fourth quarter of 2020, which resulted in a reduction of the IPR&amp;D asset from $480.0 million to $365.0 million.</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BIIB054</w:t>
      </w:r>
    </w:p>
    <w:p>
      <w:pPr>
        <w:spacing w:after="0" w:line="189" w:lineRule="exact"/>
        <w:rPr>
          <w:sz w:val="20"/>
          <w:szCs w:val="20"/>
          <w:color w:val="auto"/>
        </w:rPr>
      </w:pPr>
    </w:p>
    <w:p>
      <w:pPr>
        <w:ind w:right="60" w:firstLine="405"/>
        <w:spacing w:after="0" w:line="236" w:lineRule="auto"/>
        <w:rPr>
          <w:sz w:val="20"/>
          <w:szCs w:val="20"/>
          <w:color w:val="auto"/>
        </w:rPr>
      </w:pPr>
      <w:r>
        <w:rPr>
          <w:rFonts w:ascii="Arial" w:cs="Arial" w:eastAsia="Arial" w:hAnsi="Arial"/>
          <w:sz w:val="18"/>
          <w:szCs w:val="18"/>
          <w:color w:val="auto"/>
        </w:rPr>
        <w:t>In February 2021 we announced that we discontinued development of BIIB054 as a potential treatment of Parkinson's disease as our Phase 2 SPARK study did not meet its primary or secondary endpoints. Although we made this determination in February 2021, it was based on conditions that existed as of December 31, 2020. As a result, we recognized an impairment charge of approximately $75.4 million during the fourth quarter of 2020 to reduce the fair value of the related IPR&amp;D intangible asset to zero.</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Vixotrigine</w:t>
      </w:r>
    </w:p>
    <w:p>
      <w:pPr>
        <w:spacing w:after="0" w:line="18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periods since we acquired vixotrigine (BIIB074), there have been numerous delays in the initiation of Phase 3 studies for the potential treatment of trigeminal neuralgia (TGN) as we engaged with the FDA regarding the design of the Phase 3 studies and awaited data and insights from mid-stage clinical trials of vixotrigine in other indications that have since been completed. The fair value of the TGN asset is not significantly in excess of carrying value. As of December 31, 2020, the carrying value associated with our vixotrigine IPR&amp;D assets was $177.5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firstLine="445"/>
        <w:spacing w:after="0" w:line="254"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Collaboration Profit (Loss)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20320</wp:posOffset>
            </wp:positionV>
            <wp:extent cx="2717165" cy="2057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right="60" w:firstLine="445"/>
        <w:spacing w:after="0" w:line="256" w:lineRule="auto"/>
        <w:rPr>
          <w:sz w:val="20"/>
          <w:szCs w:val="20"/>
          <w:color w:val="auto"/>
        </w:rPr>
      </w:pPr>
      <w:r>
        <w:rPr>
          <w:rFonts w:ascii="Arial" w:cs="Arial" w:eastAsia="Arial" w:hAnsi="Arial"/>
          <w:sz w:val="18"/>
          <w:szCs w:val="18"/>
          <w:color w:val="auto"/>
        </w:rPr>
        <w:t>Collaboration profit (loss) sharing primarily includes Samsung Bioepis' 50.0% share of the profit or loss related to our biosimilars commercial agreement with Samsung Bioepis.</w:t>
      </w:r>
    </w:p>
    <w:p>
      <w:pPr>
        <w:spacing w:after="0" w:line="148" w:lineRule="exact"/>
        <w:rPr>
          <w:sz w:val="20"/>
          <w:szCs w:val="20"/>
          <w:color w:val="auto"/>
        </w:rPr>
      </w:pPr>
    </w:p>
    <w:p>
      <w:pPr>
        <w:ind w:left="380" w:right="160" w:firstLine="445"/>
        <w:spacing w:after="0" w:line="254" w:lineRule="auto"/>
        <w:rPr>
          <w:sz w:val="20"/>
          <w:szCs w:val="20"/>
          <w:color w:val="auto"/>
        </w:rPr>
      </w:pPr>
      <w:r>
        <w:rPr>
          <w:rFonts w:ascii="Arial" w:cs="Arial" w:eastAsia="Arial" w:hAnsi="Arial"/>
          <w:sz w:val="18"/>
          <w:szCs w:val="18"/>
          <w:color w:val="auto"/>
        </w:rPr>
        <w:t>For 2020, 2019 and 2018 we recognized a net profit-sharing expense of $266.5 million, $241.6 million and $ 187.4 million, respectively, to reflect Samsung Bioepis’ 50.0% sharing of the net collaboration profits.</w:t>
      </w:r>
    </w:p>
    <w:p>
      <w:pPr>
        <w:spacing w:after="0" w:line="150" w:lineRule="exact"/>
        <w:rPr>
          <w:sz w:val="20"/>
          <w:szCs w:val="20"/>
          <w:color w:val="auto"/>
        </w:rPr>
      </w:pPr>
    </w:p>
    <w:p>
      <w:pPr>
        <w:ind w:left="380" w:right="140" w:firstLine="445"/>
        <w:spacing w:after="0" w:line="253" w:lineRule="auto"/>
        <w:rPr>
          <w:sz w:val="20"/>
          <w:szCs w:val="20"/>
          <w:color w:val="auto"/>
        </w:rPr>
      </w:pPr>
      <w:r>
        <w:rPr>
          <w:rFonts w:ascii="Arial" w:cs="Arial" w:eastAsia="Arial" w:hAnsi="Arial"/>
          <w:sz w:val="18"/>
          <w:szCs w:val="18"/>
          <w:color w:val="auto"/>
        </w:rPr>
        <w:t>For the year ended 2020, we also recognized net profit-sharing income of $33.8 million to reflect Eisai's 45.0% share of the $75.0 million milestone expense related to the completed submission of the BLA for the approval of aducanumab to the FDA.</w:t>
      </w:r>
    </w:p>
    <w:p>
      <w:pPr>
        <w:spacing w:after="0" w:line="151" w:lineRule="exact"/>
        <w:rPr>
          <w:sz w:val="20"/>
          <w:szCs w:val="20"/>
          <w:color w:val="auto"/>
        </w:rPr>
      </w:pPr>
    </w:p>
    <w:p>
      <w:pPr>
        <w:ind w:left="38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Eisai,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18, Collaborative and Other Relationships</w:t>
      </w:r>
      <w:r>
        <w:rPr>
          <w:rFonts w:ascii="Arial" w:cs="Arial" w:eastAsia="Arial" w:hAnsi="Arial"/>
          <w:sz w:val="18"/>
          <w:szCs w:val="18"/>
          <w:color w:val="auto"/>
        </w:rPr>
        <w:t>,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80"/>
          </w:cols>
          <w:pgMar w:left="320" w:top="144" w:right="47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920" w:firstLine="202"/>
        <w:spacing w:after="0" w:line="287" w:lineRule="auto"/>
        <w:rPr>
          <w:sz w:val="20"/>
          <w:szCs w:val="20"/>
          <w:color w:val="auto"/>
        </w:rPr>
      </w:pPr>
      <w:r>
        <w:rPr>
          <w:rFonts w:ascii="Arial" w:cs="Arial" w:eastAsia="Arial" w:hAnsi="Arial"/>
          <w:sz w:val="18"/>
          <w:szCs w:val="18"/>
          <w:b w:val="1"/>
          <w:bCs w:val="1"/>
          <w:i w:val="1"/>
          <w:iCs w:val="1"/>
          <w:color w:val="2573BA"/>
        </w:rPr>
        <w:t>(Gain) Loss on Divestiture of Hillerød, Denmark Manufacturing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-24765</wp:posOffset>
            </wp:positionV>
            <wp:extent cx="2717165" cy="2057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firstLine="202"/>
        <w:spacing w:after="0" w:line="287" w:lineRule="auto"/>
        <w:rPr>
          <w:sz w:val="20"/>
          <w:szCs w:val="20"/>
          <w:color w:val="auto"/>
        </w:rPr>
      </w:pPr>
      <w:r>
        <w:rPr>
          <w:rFonts w:ascii="Arial" w:cs="Arial" w:eastAsia="Arial" w:hAnsi="Arial"/>
          <w:sz w:val="18"/>
          <w:szCs w:val="18"/>
          <w:b w:val="1"/>
          <w:bCs w:val="1"/>
          <w:i w:val="1"/>
          <w:iCs w:val="1"/>
          <w:color w:val="2573BA"/>
        </w:rPr>
        <w:t>(Gain) Loss on Fair Value Remeasurement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2717165" cy="2057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180"/>
          </w:cols>
          <w:pgMar w:left="320" w:top="144"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March 2019 we entered into a share purchase agreement with FUJIFILM to sell all of the outstanding shares of our subsidiary that owned our biologics manufacturing operations in Hillerød, Denmark. The transaction closed in August 2019.</w:t>
      </w:r>
    </w:p>
    <w:p>
      <w:pPr>
        <w:spacing w:after="0" w:line="150"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For the year ended December 31, 2019, we recognized a total net loss of approximately $124.2 million related to the transaction in our consolidated statements of income. This loss included a pre-tax loss of $55.3 million, which was recorded in loss on divestiture of Hillerød, Denmark manufacturing operations. The loss recognized was based on exchange rates and business conditions on the closing date of this transaction, and included costs to sell our Hillerød, Denmark manufacturing operations of approximately $11.2 million and our estimate of the fair value of adverse commitments of approximately $74.0 million, primarily associated with the guarantee of future minimum batch production at the Hillerød facility. We also recorded a tax expense of $68.9 million related to this transaction.</w:t>
      </w:r>
    </w:p>
    <w:p>
      <w:pPr>
        <w:spacing w:after="0" w:line="36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During the year ended December 31, 2020, we reduced our estimate of the fair value of the adverse commitment associated with the guarantee of future batch production by approximately $62.0 million based on our current manufacturing forecasts. Additionally, we recorded a reduction to our pre-tax loss of approximately $ 30.5 million due to a refund of interest paid associated with a tax matter.</w:t>
      </w:r>
    </w:p>
    <w:p>
      <w:pPr>
        <w:spacing w:after="0" w:line="9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Consideration payable for certain of our business combinations includes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consolidated statements of income.</w:t>
      </w:r>
    </w:p>
    <w:p>
      <w:pPr>
        <w:spacing w:after="0" w:line="157" w:lineRule="exact"/>
        <w:rPr>
          <w:sz w:val="20"/>
          <w:szCs w:val="20"/>
          <w:color w:val="auto"/>
        </w:rPr>
      </w:pPr>
    </w:p>
    <w:p>
      <w:pPr>
        <w:ind w:left="380" w:right="140" w:firstLine="445"/>
        <w:spacing w:after="0" w:line="253" w:lineRule="auto"/>
        <w:rPr>
          <w:sz w:val="20"/>
          <w:szCs w:val="20"/>
          <w:color w:val="auto"/>
        </w:rPr>
      </w:pPr>
      <w:r>
        <w:rPr>
          <w:rFonts w:ascii="Arial" w:cs="Arial" w:eastAsia="Arial" w:hAnsi="Arial"/>
          <w:sz w:val="17"/>
          <w:szCs w:val="17"/>
          <w:color w:val="auto"/>
        </w:rPr>
        <w:t>The gain on fair value remeasurement of contingent consideration for 2020 was primarily due to the remeasurement of the contingent consideration associated with our BIIB054 program as well as changes in the probability and the expected timing of the achievement of certain remaining developmental milestones, changes in the interest rates used to revalue our contingent consideration liabilities and the passage of time.</w:t>
      </w:r>
    </w:p>
    <w:p>
      <w:pPr>
        <w:spacing w:after="0" w:line="137"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The gain on fair value remeasurement of contingent consideration for 2019 was primarily due to the discontinuation of the Phase 2b study of BG00011 for the potential treatment of IPF as well as changes in the probability and expected timing of achievement of certain developmental milestones, a decrease in interest rates used to revalue our contingent consideration liabilities and the passage of time.</w:t>
      </w:r>
    </w:p>
    <w:p>
      <w:pPr>
        <w:spacing w:after="0" w:line="153" w:lineRule="exact"/>
        <w:rPr>
          <w:sz w:val="20"/>
          <w:szCs w:val="20"/>
          <w:color w:val="auto"/>
        </w:rPr>
      </w:pPr>
    </w:p>
    <w:p>
      <w:pPr>
        <w:ind w:left="380" w:right="100" w:firstLine="445"/>
        <w:spacing w:after="0" w:line="256" w:lineRule="auto"/>
        <w:rPr>
          <w:sz w:val="20"/>
          <w:szCs w:val="20"/>
          <w:color w:val="auto"/>
        </w:rPr>
      </w:pPr>
      <w:r>
        <w:rPr>
          <w:rFonts w:ascii="Arial" w:cs="Arial" w:eastAsia="Arial" w:hAnsi="Arial"/>
          <w:sz w:val="18"/>
          <w:szCs w:val="18"/>
          <w:color w:val="auto"/>
        </w:rPr>
        <w:t xml:space="preserve">For additional information on our IPR&amp;D intangible assets, please read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5114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BIIB118 Acquisition</w:t>
      </w:r>
    </w:p>
    <w:p>
      <w:pPr>
        <w:spacing w:after="0" w:line="189" w:lineRule="exact"/>
        <w:rPr>
          <w:sz w:val="20"/>
          <w:szCs w:val="20"/>
          <w:color w:val="auto"/>
        </w:rPr>
      </w:pPr>
    </w:p>
    <w:p>
      <w:pPr>
        <w:ind w:right="100" w:firstLine="202"/>
        <w:spacing w:after="0" w:line="252" w:lineRule="auto"/>
        <w:rPr>
          <w:sz w:val="20"/>
          <w:szCs w:val="20"/>
          <w:color w:val="auto"/>
        </w:rPr>
      </w:pPr>
      <w:r>
        <w:rPr>
          <w:rFonts w:ascii="Arial" w:cs="Arial" w:eastAsia="Arial" w:hAnsi="Arial"/>
          <w:sz w:val="18"/>
          <w:szCs w:val="18"/>
          <w:color w:val="auto"/>
        </w:rPr>
        <w:t>In March 2020 we acquired BIIB118 from Pfizer for the potential treatment of patients with behavioral and neurological symptoms across various psychiatric and neurological diseases. In connection with this acquisition, we made an upfront payment of $75.0 million to Pfizer, which was accounted for as an asset acquisition and recorded as acquired IPR&amp;D in our consolidated statements of income as BIIB118 has not yet reached technological feasibility.</w:t>
      </w:r>
    </w:p>
    <w:p>
      <w:pPr>
        <w:spacing w:after="0" w:line="151" w:lineRule="exact"/>
        <w:rPr>
          <w:sz w:val="20"/>
          <w:szCs w:val="20"/>
          <w:color w:val="auto"/>
        </w:rPr>
      </w:pPr>
    </w:p>
    <w:p>
      <w:pPr>
        <w:ind w:firstLine="202"/>
        <w:spacing w:after="0" w:line="256" w:lineRule="auto"/>
        <w:rPr>
          <w:sz w:val="20"/>
          <w:szCs w:val="20"/>
          <w:color w:val="auto"/>
        </w:rPr>
      </w:pPr>
      <w:r>
        <w:rPr>
          <w:rFonts w:ascii="Arial" w:cs="Arial" w:eastAsia="Arial" w:hAnsi="Arial"/>
          <w:sz w:val="18"/>
          <w:szCs w:val="18"/>
          <w:color w:val="auto"/>
        </w:rPr>
        <w:t xml:space="preserve">For additional information on our acquisition of BIIB118,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7165" cy="2057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For 2020 compared to 2019, the change in other income (expense), net primarily reflects an increase in our net unrealized gains on our holdings in equity securities, partially offset by higher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For the year ended December 31, 2020, net unrealized and realized gains on our holdings in equity securities were approximately $681.8 million and $12.1 million, respectively, compared to net unrealized and realized gains of $150.1 million and $50.0 million in 2019. The net unrealized gains recognized during the year ended December 31, 2020, primarily reflects an increase in the fair value of Denali and Sangamo common stock of approximately $703.9 million.</w:t>
      </w:r>
    </w:p>
    <w:p>
      <w:pPr>
        <w:spacing w:after="0" w:line="151"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For the year ended December 31, 2020, net interest expense was $180.5 million as compared to $67.4 million in 2019. This increase was primarily due to additional borrowings in 2020 and lower interest income earned on our investments in 2020 as compared to 2019. On April 30, 2020, we issued our senior unsecured notes for an aggregate principal amount of $3.0 billion (2020 Senior Notes).</w:t>
      </w:r>
    </w:p>
    <w:p>
      <w:pPr>
        <w:spacing w:after="0" w:line="153"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We expect interest expense will increase in 2021, as our 2020 Senior Notes will be outstanding for the entire year.</w:t>
      </w:r>
    </w:p>
    <w:p>
      <w:pPr>
        <w:spacing w:after="0" w:line="14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 xml:space="preserve">For additional information on our 2020 Senior Notes,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to our consolidated financial statements included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717165" cy="28975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1716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expenses, the levels of</w:t>
      </w:r>
    </w:p>
    <w:p>
      <w:pPr>
        <w:spacing w:after="0" w:line="1135" w:lineRule="exact"/>
        <w:rPr>
          <w:sz w:val="20"/>
          <w:szCs w:val="20"/>
          <w:color w:val="auto"/>
        </w:rPr>
      </w:pPr>
    </w:p>
    <w:p>
      <w:pPr>
        <w:sectPr>
          <w:pgSz w:w="11900" w:h="16838" w:orient="portrait"/>
          <w:cols w:equalWidth="0" w:num="2">
            <w:col w:w="5220" w:space="680"/>
            <w:col w:w="5220"/>
          </w:cols>
          <w:pgMar w:left="320" w:top="144" w:right="459" w:bottom="1440" w:gutter="0" w:footer="0" w:header="0"/>
        </w:sect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certain deductions and credits, acquisitions and licensing transactions.</w:t>
      </w:r>
    </w:p>
    <w:p>
      <w:pPr>
        <w:spacing w:after="0" w:line="76"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For the year ended December 31, 2020, as compared to 2019, the increase in our effective tax rate was primarily due to the income tax expense related to the establishment of a valuation allowance against certain net deferred tax assets, the realization of which is dependent on future sales of TECFIDERA in the U.S., partially offset by the benefit recognized on the effective settlement of certain tax matters. Additionally, our 2019 effective tax rate benefited from an internal reorganization of certain intellectual property rights and the enactment of a new taxing regime in the country and certain cantons of Switzerland, partially offset by tax expense related to the divestiture of our Hillerød, Denmark manufacturing operations. Although we recognized a loss on the divestiture of our Hillerød, Denmark manufacturing operations, the divestiture required us to write-off certain deferred tax assets and resulted in a taxable gain in certain jurisdictions.</w:t>
      </w:r>
    </w:p>
    <w:p>
      <w:pPr>
        <w:spacing w:after="0" w:line="73"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Accounting for Uncertainty in Income Taxes</w:t>
      </w:r>
    </w:p>
    <w:p>
      <w:pPr>
        <w:spacing w:after="0" w:line="12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 xml:space="preserve">For additional information on our uncertain tax positions and income tax rate reconciliation for 2020, 2019 and 2018, please read </w:t>
      </w:r>
      <w:r>
        <w:rPr>
          <w:rFonts w:ascii="Arial" w:cs="Arial" w:eastAsia="Arial" w:hAnsi="Arial"/>
          <w:sz w:val="18"/>
          <w:szCs w:val="18"/>
          <w:i w:val="1"/>
          <w:iCs w:val="1"/>
          <w:color w:val="auto"/>
        </w:rPr>
        <w:t>Note 16, Income Taxes,</w:t>
      </w:r>
      <w:r>
        <w:rPr>
          <w:rFonts w:ascii="Arial" w:cs="Arial" w:eastAsia="Arial" w:hAnsi="Arial"/>
          <w:sz w:val="18"/>
          <w:szCs w:val="18"/>
          <w:color w:val="auto"/>
        </w:rPr>
        <w:t xml:space="preserve"> to our consolidated financial statements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Equity in (Income)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7165" cy="2057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w:t>
      </w:r>
    </w:p>
    <w:p>
      <w:pPr>
        <w:spacing w:after="0" w:line="94" w:lineRule="exact"/>
        <w:rPr>
          <w:sz w:val="20"/>
          <w:szCs w:val="20"/>
          <w:color w:val="auto"/>
        </w:rPr>
      </w:pPr>
    </w:p>
    <w:p>
      <w:pPr>
        <w:ind w:right="440" w:firstLine="445"/>
        <w:spacing w:after="0" w:line="256" w:lineRule="auto"/>
        <w:rPr>
          <w:sz w:val="20"/>
          <w:szCs w:val="20"/>
          <w:color w:val="auto"/>
        </w:rPr>
      </w:pPr>
      <w:r>
        <w:rPr>
          <w:rFonts w:ascii="Arial" w:cs="Arial" w:eastAsia="Arial" w:hAnsi="Arial"/>
          <w:sz w:val="18"/>
          <w:szCs w:val="18"/>
          <w:color w:val="auto"/>
        </w:rPr>
        <w:t>In June 2018 we exercised our option under our joint venture agreement to increase our ownership percentage in Samsung Bioepis from approximately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line="256" w:lineRule="auto"/>
        <w:rPr>
          <w:sz w:val="20"/>
          <w:szCs w:val="20"/>
          <w:color w:val="auto"/>
        </w:rPr>
      </w:pPr>
      <w:r>
        <w:rPr>
          <w:rFonts w:ascii="Arial" w:cs="Arial" w:eastAsia="Arial" w:hAnsi="Arial"/>
          <w:sz w:val="18"/>
          <w:szCs w:val="18"/>
          <w:color w:val="auto"/>
        </w:rPr>
        <w:t>5.0% to approximately 49.9%. The share purchase transaction was completed in November 2018. As of December 31, 2020, our ownership percentage remained at approximately 49.9%.</w:t>
      </w:r>
    </w:p>
    <w:p>
      <w:pPr>
        <w:spacing w:after="0" w:line="94"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consolidated statements of income. We recognize amortization on certain basis differences resulting from our November 2018 investment.</w:t>
      </w:r>
    </w:p>
    <w:p>
      <w:pPr>
        <w:spacing w:after="0" w:line="99" w:lineRule="exact"/>
        <w:rPr>
          <w:sz w:val="20"/>
          <w:szCs w:val="20"/>
          <w:color w:val="auto"/>
        </w:rPr>
      </w:pPr>
    </w:p>
    <w:p>
      <w:pPr>
        <w:ind w:left="380" w:right="80" w:firstLine="445"/>
        <w:spacing w:after="0" w:line="252" w:lineRule="auto"/>
        <w:rPr>
          <w:sz w:val="20"/>
          <w:szCs w:val="20"/>
          <w:color w:val="auto"/>
        </w:rPr>
      </w:pPr>
      <w:r>
        <w:rPr>
          <w:rFonts w:ascii="Arial" w:cs="Arial" w:eastAsia="Arial" w:hAnsi="Arial"/>
          <w:sz w:val="18"/>
          <w:szCs w:val="18"/>
          <w:color w:val="auto"/>
        </w:rPr>
        <w:t>The former chief executive officer (the incumbent chairman of the board) and the chief financial officer of our joint venture partner, Samsung BioLogics, are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97"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For the year ended December 31, 2020, equity in (income) loss of investee, net of tax reflects our share of income totaling $45.3 million and amortization of basis differences totaling $40.0 million.</w:t>
      </w:r>
    </w:p>
    <w:p>
      <w:pPr>
        <w:spacing w:after="0" w:line="96"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For the year ended December 31, 2019, equity in (income) loss of investee, net of tax reflects our share of losses totaling $1.2 million and amortization of basis differences totaling $78.2 million.</w:t>
      </w:r>
    </w:p>
    <w:p>
      <w:pPr>
        <w:spacing w:after="0" w:line="96" w:lineRule="exact"/>
        <w:rPr>
          <w:sz w:val="20"/>
          <w:szCs w:val="20"/>
          <w:color w:val="auto"/>
        </w:rPr>
      </w:pPr>
    </w:p>
    <w:p>
      <w:pPr>
        <w:ind w:left="380" w:right="52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Noncontrolling Interests,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7165" cy="2057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For 2020 net income (loss) attributable to noncontrolling interests, net of tax, was primarily due to the $75.0 million milestone payment related to the completed submission of the BLA for the approval of aducanumab to the FDA.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19,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Entities,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3845" w:lineRule="exact"/>
        <w:rPr>
          <w:sz w:val="20"/>
          <w:szCs w:val="20"/>
          <w:color w:val="auto"/>
        </w:rPr>
      </w:pPr>
    </w:p>
    <w:p>
      <w:pPr>
        <w:sectPr>
          <w:pgSz w:w="11900" w:h="16838" w:orient="portrait"/>
          <w:cols w:equalWidth="0" w:num="2">
            <w:col w:w="5180" w:space="720"/>
            <w:col w:w="5280"/>
          </w:cols>
          <w:pgMar w:left="320" w:top="144" w:right="39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Financial Condition, Liquidity and Capital Resources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condition is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shd w:val="clear" w:color="auto" w:fill="DDDDDD"/>
          </w:tcPr>
          <w:p>
            <w:pPr>
              <w:spacing w:after="0"/>
              <w:rPr>
                <w:sz w:val="12"/>
                <w:szCs w:val="12"/>
                <w:color w:val="auto"/>
              </w:rPr>
            </w:pPr>
          </w:p>
        </w:tc>
        <w:tc>
          <w:tcPr>
            <w:tcW w:w="1220" w:type="dxa"/>
            <w:vAlign w:val="bottom"/>
            <w:tcBorders>
              <w:right w:val="single" w:sz="8" w:color="DDDDDD"/>
            </w:tcBorders>
            <w:shd w:val="clear" w:color="auto" w:fill="DDDDDD"/>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5"/>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vMerge w:val="restart"/>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220" w:type="dxa"/>
            <w:vAlign w:val="bottom"/>
            <w:tcBorders>
              <w:right w:val="single" w:sz="8" w:color="DDDDDD"/>
            </w:tcBorders>
            <w:vMerge w:val="restart"/>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75"/>
        </w:trPr>
        <w:tc>
          <w:tcPr>
            <w:tcW w:w="63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right w:val="single" w:sz="8" w:color="DDDDDD"/>
            </w:tcBorders>
            <w:vMerge w:val="continue"/>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440" w:type="dxa"/>
            <w:vAlign w:val="bottom"/>
            <w:gridSpan w:val="3"/>
          </w:tcPr>
          <w:p>
            <w:pPr>
              <w:ind w:left="20"/>
              <w:spacing w:after="0"/>
              <w:rPr>
                <w:sz w:val="20"/>
                <w:szCs w:val="20"/>
                <w:color w:val="auto"/>
              </w:rPr>
            </w:pPr>
            <w:r>
              <w:rPr>
                <w:rFonts w:ascii="Arial" w:cs="Arial" w:eastAsia="Arial" w:hAnsi="Arial"/>
                <w:sz w:val="14"/>
                <w:szCs w:val="14"/>
                <w:color w:val="auto"/>
              </w:rPr>
              <w:t>Financial assets:</w:t>
            </w:r>
          </w:p>
        </w:tc>
        <w:tc>
          <w:tcPr>
            <w:tcW w:w="360" w:type="dxa"/>
            <w:vAlign w:val="bottom"/>
            <w:shd w:val="clear" w:color="auto" w:fill="DDDDDD"/>
          </w:tcPr>
          <w:p>
            <w:pPr>
              <w:spacing w:after="0"/>
              <w:rPr>
                <w:sz w:val="15"/>
                <w:szCs w:val="15"/>
                <w:color w:val="auto"/>
              </w:rPr>
            </w:pPr>
          </w:p>
        </w:tc>
        <w:tc>
          <w:tcPr>
            <w:tcW w:w="1220" w:type="dxa"/>
            <w:vAlign w:val="bottom"/>
            <w:tcBorders>
              <w:right w:val="single" w:sz="8" w:color="DDDDDD"/>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1,331.2</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2,913.7</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0"/>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Marketable securities — current</w:t>
            </w:r>
          </w:p>
        </w:tc>
        <w:tc>
          <w:tcPr>
            <w:tcW w:w="360" w:type="dxa"/>
            <w:vAlign w:val="bottom"/>
            <w:shd w:val="clear" w:color="auto" w:fill="DDDDDD"/>
          </w:tcPr>
          <w:p>
            <w:pPr>
              <w:spacing w:after="0"/>
              <w:rPr>
                <w:sz w:val="16"/>
                <w:szCs w:val="16"/>
                <w:color w:val="auto"/>
              </w:rPr>
            </w:pP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1,278.9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1,562.2</w:t>
            </w:r>
          </w:p>
        </w:tc>
        <w:tc>
          <w:tcPr>
            <w:tcW w:w="12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8"/>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Marketable securities — non-current</w:t>
            </w: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772.1</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1,408.1</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23"/>
        </w:trPr>
        <w:tc>
          <w:tcPr>
            <w:tcW w:w="6440" w:type="dxa"/>
            <w:vAlign w:val="bottom"/>
            <w:gridSpan w:val="3"/>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3,382.2</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5,884.0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55"/>
        </w:trPr>
        <w:tc>
          <w:tcPr>
            <w:tcW w:w="644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Borrowings:</w:t>
            </w:r>
          </w:p>
        </w:tc>
        <w:tc>
          <w:tcPr>
            <w:tcW w:w="360" w:type="dxa"/>
            <w:vAlign w:val="bottom"/>
            <w:tcBorders>
              <w:top w:val="single" w:sz="8" w:color="auto"/>
            </w:tcBorders>
            <w:shd w:val="clear" w:color="auto" w:fill="DDDDDD"/>
          </w:tcPr>
          <w:p>
            <w:pPr>
              <w:spacing w:after="0"/>
              <w:rPr>
                <w:sz w:val="13"/>
                <w:szCs w:val="13"/>
                <w:color w:val="auto"/>
              </w:rPr>
            </w:pPr>
          </w:p>
        </w:tc>
        <w:tc>
          <w:tcPr>
            <w:tcW w:w="1220" w:type="dxa"/>
            <w:vAlign w:val="bottom"/>
            <w:tcBorders>
              <w:top w:val="single" w:sz="8" w:color="auto"/>
              <w:right w:val="single" w:sz="8" w:color="DDDDDD"/>
            </w:tcBorders>
            <w:shd w:val="clear" w:color="auto" w:fill="DDDDDD"/>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Current portion of notes payable</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1,495.8</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Notes payable</w:t>
            </w: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7,426.2</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4,459.0</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23"/>
        </w:trPr>
        <w:tc>
          <w:tcPr>
            <w:tcW w:w="6440" w:type="dxa"/>
            <w:vAlign w:val="bottom"/>
            <w:gridSpan w:val="3"/>
          </w:tcPr>
          <w:p>
            <w:pPr>
              <w:ind w:left="360"/>
              <w:spacing w:after="0"/>
              <w:rPr>
                <w:sz w:val="20"/>
                <w:szCs w:val="20"/>
                <w:color w:val="auto"/>
              </w:rPr>
            </w:pPr>
            <w:r>
              <w:rPr>
                <w:rFonts w:ascii="Arial" w:cs="Arial" w:eastAsia="Arial" w:hAnsi="Arial"/>
                <w:sz w:val="14"/>
                <w:szCs w:val="14"/>
                <w:color w:val="auto"/>
              </w:rPr>
              <w:t>Total borrowings</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7,426.2</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5,954.8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24.7 %</w:t>
            </w:r>
          </w:p>
        </w:tc>
        <w:tc>
          <w:tcPr>
            <w:tcW w:w="0" w:type="dxa"/>
            <w:vAlign w:val="bottom"/>
          </w:tcPr>
          <w:p>
            <w:pPr>
              <w:spacing w:after="0"/>
              <w:rPr>
                <w:sz w:val="1"/>
                <w:szCs w:val="1"/>
                <w:color w:val="auto"/>
              </w:rPr>
            </w:pPr>
          </w:p>
        </w:tc>
      </w:tr>
      <w:tr>
        <w:trPr>
          <w:trHeight w:val="156"/>
        </w:trPr>
        <w:tc>
          <w:tcPr>
            <w:tcW w:w="644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Working Capital:</w:t>
            </w:r>
          </w:p>
        </w:tc>
        <w:tc>
          <w:tcPr>
            <w:tcW w:w="360" w:type="dxa"/>
            <w:vAlign w:val="bottom"/>
            <w:tcBorders>
              <w:top w:val="single" w:sz="8" w:color="auto"/>
            </w:tcBorders>
            <w:shd w:val="clear" w:color="auto" w:fill="DDDDDD"/>
          </w:tcPr>
          <w:p>
            <w:pPr>
              <w:spacing w:after="0"/>
              <w:rPr>
                <w:sz w:val="13"/>
                <w:szCs w:val="13"/>
                <w:color w:val="auto"/>
              </w:rPr>
            </w:pPr>
          </w:p>
        </w:tc>
        <w:tc>
          <w:tcPr>
            <w:tcW w:w="1220" w:type="dxa"/>
            <w:vAlign w:val="bottom"/>
            <w:tcBorders>
              <w:top w:val="single" w:sz="8" w:color="auto"/>
              <w:right w:val="single" w:sz="8" w:color="DDDDDD"/>
            </w:tcBorders>
            <w:shd w:val="clear" w:color="auto" w:fill="DDDDDD"/>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Current assets</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6,887.1</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8,381.8</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6440" w:type="dxa"/>
            <w:vAlign w:val="bottom"/>
            <w:gridSpan w:val="3"/>
          </w:tcPr>
          <w:p>
            <w:pPr>
              <w:ind w:left="140"/>
              <w:spacing w:after="0"/>
              <w:rPr>
                <w:sz w:val="20"/>
                <w:szCs w:val="20"/>
                <w:color w:val="auto"/>
              </w:rPr>
            </w:pPr>
            <w:r>
              <w:rPr>
                <w:rFonts w:ascii="Arial" w:cs="Arial" w:eastAsia="Arial" w:hAnsi="Arial"/>
                <w:sz w:val="14"/>
                <w:szCs w:val="14"/>
                <w:color w:val="auto"/>
              </w:rPr>
              <w:t>Current liabilities</w:t>
            </w: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(3,742.2)</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color w:val="auto"/>
              </w:rPr>
              <w:t>(4,863.8)</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03"/>
        </w:trPr>
        <w:tc>
          <w:tcPr>
            <w:tcW w:w="6440" w:type="dxa"/>
            <w:vAlign w:val="bottom"/>
            <w:gridSpan w:val="3"/>
          </w:tcPr>
          <w:p>
            <w:pPr>
              <w:ind w:left="360"/>
              <w:spacing w:after="0"/>
              <w:rPr>
                <w:sz w:val="20"/>
                <w:szCs w:val="20"/>
                <w:color w:val="auto"/>
              </w:rPr>
            </w:pPr>
            <w:r>
              <w:rPr>
                <w:rFonts w:ascii="Arial" w:cs="Arial" w:eastAsia="Arial" w:hAnsi="Arial"/>
                <w:sz w:val="14"/>
                <w:szCs w:val="14"/>
                <w:color w:val="auto"/>
              </w:rPr>
              <w:t>Total working capital</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3,144.9</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268"/>
              <w:spacing w:after="0"/>
              <w:rPr>
                <w:sz w:val="20"/>
                <w:szCs w:val="20"/>
                <w:color w:val="auto"/>
              </w:rPr>
            </w:pPr>
            <w:r>
              <w:rPr>
                <w:rFonts w:ascii="Arial" w:cs="Arial" w:eastAsia="Arial" w:hAnsi="Arial"/>
                <w:sz w:val="14"/>
                <w:szCs w:val="14"/>
                <w:color w:val="auto"/>
              </w:rPr>
              <w:t>3,518.0</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ectPr>
          <w:pgSz w:w="11900" w:h="16838" w:orient="portrait"/>
          <w:cols w:equalWidth="0" w:num="1">
            <w:col w:w="11180"/>
          </w:cols>
          <w:pgMar w:left="320" w:top="144" w:right="399" w:bottom="1440" w:gutter="0" w:footer="0" w:header="0"/>
          <w:type w:val="continuous"/>
        </w:sectPr>
      </w:pPr>
    </w:p>
    <w:p>
      <w:pPr>
        <w:spacing w:after="0" w:line="120" w:lineRule="exact"/>
        <w:rPr>
          <w:sz w:val="20"/>
          <w:szCs w:val="20"/>
          <w:color w:val="auto"/>
        </w:rPr>
      </w:pPr>
    </w:p>
    <w:p>
      <w:pPr>
        <w:ind w:right="206" w:firstLine="405"/>
        <w:spacing w:after="0" w:line="261" w:lineRule="auto"/>
        <w:rPr>
          <w:sz w:val="20"/>
          <w:szCs w:val="20"/>
          <w:color w:val="auto"/>
        </w:rPr>
      </w:pPr>
      <w:r>
        <w:rPr>
          <w:rFonts w:ascii="Arial" w:cs="Arial" w:eastAsia="Arial" w:hAnsi="Arial"/>
          <w:sz w:val="18"/>
          <w:szCs w:val="18"/>
          <w:color w:val="auto"/>
        </w:rPr>
        <w:t>For the year ended December 31, 2020, certain significant cash flows were as follows:</w:t>
      </w:r>
    </w:p>
    <w:p>
      <w:pPr>
        <w:spacing w:after="0" w:line="144" w:lineRule="exact"/>
        <w:rPr>
          <w:sz w:val="20"/>
          <w:szCs w:val="20"/>
          <w:color w:val="auto"/>
        </w:rPr>
      </w:pPr>
    </w:p>
    <w:p>
      <w:pPr>
        <w:ind w:left="420" w:right="86" w:hanging="331"/>
        <w:spacing w:after="0" w:line="252" w:lineRule="auto"/>
        <w:tabs>
          <w:tab w:leader="none" w:pos="3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$4.2 billion in net cash flows provided by operating activities, which reflected $1.9 billion of upfront payments and the premium on stock purchases made in connection with entering into our collaborations with Sage, Denali and Sangamo and recognized as research and development expenses;</w:t>
      </w:r>
    </w:p>
    <w:p>
      <w:pPr>
        <w:spacing w:after="0" w:line="100" w:lineRule="exact"/>
        <w:rPr>
          <w:rFonts w:ascii="Arial" w:cs="Arial" w:eastAsia="Arial" w:hAnsi="Arial"/>
          <w:sz w:val="18"/>
          <w:szCs w:val="18"/>
          <w:color w:val="auto"/>
        </w:rPr>
      </w:pPr>
    </w:p>
    <w:p>
      <w:pPr>
        <w:ind w:left="360" w:hanging="271"/>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$6.7 billion used for share repurchases;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34" w:right="360" w:hanging="334"/>
        <w:spacing w:after="0" w:line="261" w:lineRule="auto"/>
        <w:tabs>
          <w:tab w:leader="none" w:pos="2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$3.0 billion in proceeds received from the issuance of our 2020 Senior Notes;</w:t>
      </w:r>
    </w:p>
    <w:p>
      <w:pPr>
        <w:spacing w:after="0" w:line="89" w:lineRule="exact"/>
        <w:rPr>
          <w:rFonts w:ascii="Arial" w:cs="Arial" w:eastAsia="Arial" w:hAnsi="Arial"/>
          <w:sz w:val="18"/>
          <w:szCs w:val="18"/>
          <w:color w:val="auto"/>
        </w:rPr>
      </w:pPr>
    </w:p>
    <w:p>
      <w:pPr>
        <w:ind w:left="334" w:right="240" w:hanging="334"/>
        <w:spacing w:after="0" w:line="256" w:lineRule="auto"/>
        <w:tabs>
          <w:tab w:leader="none" w:pos="2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$1.5 billion payment made for the redemption of our 2.90% Senior Notes due September 15, 2020, prior to their maturity;</w:t>
      </w:r>
    </w:p>
    <w:p>
      <w:pPr>
        <w:spacing w:after="0" w:line="93" w:lineRule="exact"/>
        <w:rPr>
          <w:rFonts w:ascii="Arial" w:cs="Arial" w:eastAsia="Arial" w:hAnsi="Arial"/>
          <w:sz w:val="18"/>
          <w:szCs w:val="18"/>
          <w:color w:val="auto"/>
        </w:rPr>
      </w:pPr>
    </w:p>
    <w:p>
      <w:pPr>
        <w:ind w:left="274" w:hanging="274"/>
        <w:spacing w:after="0"/>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$906.7 million </w:t>
      </w:r>
      <w:r>
        <w:rPr>
          <w:rFonts w:ascii="Arial" w:cs="Arial" w:eastAsia="Arial" w:hAnsi="Arial"/>
          <w:sz w:val="18"/>
          <w:szCs w:val="18"/>
          <w:color w:val="0F243E"/>
        </w:rPr>
        <w:t>in total net payments for income taxes;</w:t>
      </w:r>
    </w:p>
    <w:p>
      <w:pPr>
        <w:spacing w:after="0" w:line="117" w:lineRule="exact"/>
        <w:rPr>
          <w:rFonts w:ascii="Arial" w:cs="Arial" w:eastAsia="Arial" w:hAnsi="Arial"/>
          <w:sz w:val="18"/>
          <w:szCs w:val="18"/>
          <w:color w:val="auto"/>
        </w:rPr>
      </w:pPr>
    </w:p>
    <w:p>
      <w:pPr>
        <w:ind w:left="274" w:hanging="274"/>
        <w:spacing w:after="0"/>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$441.0 million used to purchase Sage common stock;</w:t>
      </w:r>
    </w:p>
    <w:p>
      <w:pPr>
        <w:spacing w:after="0" w:line="631" w:lineRule="exact"/>
        <w:rPr>
          <w:sz w:val="20"/>
          <w:szCs w:val="20"/>
          <w:color w:val="auto"/>
        </w:rPr>
      </w:pPr>
    </w:p>
    <w:p>
      <w:pPr>
        <w:sectPr>
          <w:pgSz w:w="11900" w:h="16838" w:orient="portrait"/>
          <w:cols w:equalWidth="0" w:num="2">
            <w:col w:w="5266" w:space="720"/>
            <w:col w:w="5194"/>
          </w:cols>
          <w:pgMar w:left="320" w:top="144" w:right="39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hanging="271"/>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$423.7 million used to purchase Denali common stock;</w:t>
      </w:r>
    </w:p>
    <w:p>
      <w:pPr>
        <w:spacing w:after="0" w:line="117" w:lineRule="exact"/>
        <w:rPr>
          <w:rFonts w:ascii="Arial" w:cs="Arial" w:eastAsia="Arial" w:hAnsi="Arial"/>
          <w:sz w:val="18"/>
          <w:szCs w:val="18"/>
          <w:color w:val="auto"/>
        </w:rPr>
      </w:pPr>
    </w:p>
    <w:p>
      <w:pPr>
        <w:ind w:left="420" w:right="220" w:hanging="331"/>
        <w:spacing w:after="0" w:line="261" w:lineRule="auto"/>
        <w:tabs>
          <w:tab w:leader="none" w:pos="3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$141.8 million used to purchase Sangamo common stock; and</w:t>
      </w:r>
    </w:p>
    <w:p>
      <w:pPr>
        <w:spacing w:after="0" w:line="89" w:lineRule="exact"/>
        <w:rPr>
          <w:rFonts w:ascii="Arial" w:cs="Arial" w:eastAsia="Arial" w:hAnsi="Arial"/>
          <w:sz w:val="18"/>
          <w:szCs w:val="18"/>
          <w:color w:val="auto"/>
        </w:rPr>
      </w:pPr>
    </w:p>
    <w:p>
      <w:pPr>
        <w:ind w:left="420" w:right="400" w:hanging="331"/>
        <w:spacing w:after="0" w:line="261" w:lineRule="auto"/>
        <w:tabs>
          <w:tab w:leader="none" w:pos="3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$424.8 million used for purchases of property, plant and equipment.</w:t>
      </w:r>
    </w:p>
    <w:p>
      <w:pPr>
        <w:spacing w:after="0" w:line="144"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For the year ended December 31, 2019, certain significant cash flows were as follows:</w:t>
      </w:r>
    </w:p>
    <w:p>
      <w:pPr>
        <w:spacing w:after="0" w:line="144" w:lineRule="exact"/>
        <w:rPr>
          <w:sz w:val="20"/>
          <w:szCs w:val="20"/>
          <w:color w:val="auto"/>
        </w:rPr>
      </w:pPr>
    </w:p>
    <w:p>
      <w:pPr>
        <w:ind w:left="360" w:hanging="271"/>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$7.1 billion in net cash flows provided by operating activities;</w:t>
      </w:r>
    </w:p>
    <w:p>
      <w:pPr>
        <w:spacing w:after="0" w:line="171" w:lineRule="exact"/>
        <w:rPr>
          <w:rFonts w:ascii="Arial" w:cs="Arial" w:eastAsia="Arial" w:hAnsi="Arial"/>
          <w:sz w:val="18"/>
          <w:szCs w:val="18"/>
          <w:color w:val="auto"/>
        </w:rPr>
      </w:pPr>
    </w:p>
    <w:p>
      <w:pPr>
        <w:ind w:left="360" w:hanging="271"/>
        <w:spacing w:after="0"/>
        <w:tabs>
          <w:tab w:leader="none" w:pos="360" w:val="left"/>
        </w:tabs>
        <w:numPr>
          <w:ilvl w:val="0"/>
          <w:numId w:val="72"/>
        </w:numPr>
        <w:rPr>
          <w:rFonts w:ascii="Arial" w:cs="Arial" w:eastAsia="Arial" w:hAnsi="Arial"/>
          <w:sz w:val="18"/>
          <w:szCs w:val="18"/>
          <w:color w:val="0F243E"/>
        </w:rPr>
      </w:pPr>
      <w:r>
        <w:rPr>
          <w:rFonts w:ascii="Arial" w:cs="Arial" w:eastAsia="Arial" w:hAnsi="Arial"/>
          <w:sz w:val="18"/>
          <w:szCs w:val="18"/>
          <w:color w:val="auto"/>
        </w:rPr>
        <w:t>$5.9 billion used for share repurchases;</w:t>
      </w:r>
    </w:p>
    <w:p>
      <w:pPr>
        <w:spacing w:after="0" w:line="171" w:lineRule="exact"/>
        <w:rPr>
          <w:rFonts w:ascii="Arial" w:cs="Arial" w:eastAsia="Arial" w:hAnsi="Arial"/>
          <w:sz w:val="18"/>
          <w:szCs w:val="18"/>
          <w:color w:val="0F243E"/>
        </w:rPr>
      </w:pPr>
    </w:p>
    <w:p>
      <w:pPr>
        <w:ind w:left="360" w:hanging="271"/>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 billion in total net payments for income taxes;</w:t>
      </w:r>
    </w:p>
    <w:p>
      <w:pPr>
        <w:spacing w:after="0" w:line="171" w:lineRule="exact"/>
        <w:rPr>
          <w:rFonts w:ascii="Arial" w:cs="Arial" w:eastAsia="Arial" w:hAnsi="Arial"/>
          <w:sz w:val="18"/>
          <w:szCs w:val="18"/>
          <w:color w:val="auto"/>
        </w:rPr>
      </w:pPr>
    </w:p>
    <w:p>
      <w:pPr>
        <w:ind w:left="420" w:right="80" w:hanging="331"/>
        <w:spacing w:after="0" w:line="254"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$923.7 million in proceeds received on the divestiture of our Hillerød, Denmark manufacturing operations, including the sale of raw materials that were remaining at the Hillerød facility on the closing date of this transaction;</w:t>
      </w:r>
    </w:p>
    <w:p>
      <w:pPr>
        <w:spacing w:after="0" w:line="149" w:lineRule="exact"/>
        <w:rPr>
          <w:rFonts w:ascii="Arial" w:cs="Arial" w:eastAsia="Arial" w:hAnsi="Arial"/>
          <w:sz w:val="18"/>
          <w:szCs w:val="18"/>
          <w:color w:val="auto"/>
        </w:rPr>
      </w:pPr>
    </w:p>
    <w:p>
      <w:pPr>
        <w:ind w:left="420" w:right="80" w:hanging="331"/>
        <w:spacing w:after="0" w:line="261"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$744.4 million payment made for our acquisition of NST, net of cash acquired;</w:t>
      </w:r>
    </w:p>
    <w:p>
      <w:pPr>
        <w:spacing w:after="0" w:line="143" w:lineRule="exact"/>
        <w:rPr>
          <w:rFonts w:ascii="Arial" w:cs="Arial" w:eastAsia="Arial" w:hAnsi="Arial"/>
          <w:sz w:val="18"/>
          <w:szCs w:val="18"/>
          <w:color w:val="auto"/>
        </w:rPr>
      </w:pPr>
    </w:p>
    <w:p>
      <w:pPr>
        <w:ind w:left="420" w:right="400" w:hanging="331"/>
        <w:spacing w:after="0" w:line="261"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$514.5 million used for purchases of property, plant and equipment;</w:t>
      </w:r>
    </w:p>
    <w:p>
      <w:pPr>
        <w:spacing w:after="0" w:line="143" w:lineRule="exact"/>
        <w:rPr>
          <w:rFonts w:ascii="Arial" w:cs="Arial" w:eastAsia="Arial" w:hAnsi="Arial"/>
          <w:sz w:val="18"/>
          <w:szCs w:val="18"/>
          <w:color w:val="auto"/>
        </w:rPr>
      </w:pPr>
    </w:p>
    <w:p>
      <w:pPr>
        <w:ind w:left="420" w:right="360" w:hanging="331"/>
        <w:spacing w:after="0" w:line="261"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$479.3 million in proceeds received on sales of strategic investments;</w:t>
      </w:r>
    </w:p>
    <w:p>
      <w:pPr>
        <w:spacing w:after="0" w:line="143" w:lineRule="exact"/>
        <w:rPr>
          <w:rFonts w:ascii="Arial" w:cs="Arial" w:eastAsia="Arial" w:hAnsi="Arial"/>
          <w:sz w:val="18"/>
          <w:szCs w:val="18"/>
          <w:color w:val="auto"/>
        </w:rPr>
      </w:pPr>
    </w:p>
    <w:p>
      <w:pPr>
        <w:ind w:left="420" w:right="60" w:hanging="331"/>
        <w:spacing w:after="0" w:line="256"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$300.0 million for the final contingent payment made to former shareholders of Fumapharm AG and holders of their rights; and</w:t>
      </w:r>
    </w:p>
    <w:p>
      <w:pPr>
        <w:spacing w:after="0" w:line="147" w:lineRule="exact"/>
        <w:rPr>
          <w:rFonts w:ascii="Arial" w:cs="Arial" w:eastAsia="Arial" w:hAnsi="Arial"/>
          <w:sz w:val="18"/>
          <w:szCs w:val="18"/>
          <w:color w:val="auto"/>
        </w:rPr>
      </w:pPr>
    </w:p>
    <w:p>
      <w:pPr>
        <w:ind w:left="420" w:right="160" w:hanging="331"/>
        <w:spacing w:after="0" w:line="261"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$155.0 million in payments made to Alkermes following the FDA's approval of VUMERITY.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Overview</w:t>
      </w:r>
    </w:p>
    <w:p>
      <w:pPr>
        <w:spacing w:after="0" w:line="126" w:lineRule="exact"/>
        <w:rPr>
          <w:sz w:val="20"/>
          <w:szCs w:val="20"/>
          <w:color w:val="auto"/>
        </w:rPr>
      </w:pPr>
    </w:p>
    <w:p>
      <w:pPr>
        <w:ind w:firstLine="202"/>
        <w:spacing w:after="0" w:line="251" w:lineRule="auto"/>
        <w:rPr>
          <w:sz w:val="20"/>
          <w:szCs w:val="20"/>
          <w:color w:val="auto"/>
        </w:rPr>
      </w:pPr>
      <w:r>
        <w:rPr>
          <w:rFonts w:ascii="Arial" w:cs="Arial" w:eastAsia="Arial" w:hAnsi="Arial"/>
          <w:sz w:val="18"/>
          <w:szCs w:val="18"/>
          <w:color w:val="auto"/>
        </w:rPr>
        <w:t>We have historically financed our operating and capital expenditures primarily through cash flows earned through our operations. On April 30, 2020, we issued our 2020 Senior Notes for an aggregate principal amount of $3.0 billion. We expect our operating expenditures, particularly those related to research and development, clinical trials, commercialization of new products and international expansion to continue to grow. However, we expect to continue funding our current and planned operating requirements primarily through our cash flows earned from our operations as well as our existing cash resources and proceeds received from the issuance of our 2020 Senior Notes. Generic competition for TECFIDERA in the U.S. has begun and we believe that this competition will reduce our cash flow from operations in 2021 and will have a significant adverse impact on our future cash flows from operations. We believe that our existing funds, when combined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r>
        <w:rPr>
          <w:rFonts w:ascii="Arial" w:cs="Arial" w:eastAsia="Arial" w:hAnsi="Arial"/>
          <w:sz w:val="18"/>
          <w:szCs w:val="18"/>
          <w:b w:val="1"/>
          <w:bCs w:val="1"/>
          <w:i w:val="1"/>
          <w:iCs w:val="1"/>
          <w:color w:val="2573BA"/>
        </w:rPr>
        <w:t>.</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Aducanumab</w:t>
      </w:r>
    </w:p>
    <w:p>
      <w:pPr>
        <w:spacing w:after="0" w:line="108"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In July 2020 we completed the submission of a BLA for the approval of aducanumab to the FDA. In August 2020 the FDA accepted the BLA and granted Priority Review with a PDUFA action date on March 7, 2021. In January 2021 the FDA extended the review period for the BLA for aducanumab by three months. The updated PDUFA action date is June 7, 2021. If we do not receive regulatory approval or are unable to successfully commercialize aducanumab, our financial condition, business and operations may be adversely affected.</w:t>
      </w:r>
    </w:p>
    <w:p>
      <w:pPr>
        <w:spacing w:after="0" w:line="158" w:lineRule="exact"/>
        <w:rPr>
          <w:sz w:val="20"/>
          <w:szCs w:val="20"/>
          <w:color w:val="auto"/>
        </w:rPr>
      </w:pPr>
    </w:p>
    <w:p>
      <w:pPr>
        <w:ind w:left="380" w:right="500" w:firstLine="445"/>
        <w:spacing w:after="0" w:line="253"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R</w:t>
      </w:r>
      <w:r>
        <w:rPr>
          <w:rFonts w:ascii="Arial" w:cs="Arial" w:eastAsia="Arial" w:hAnsi="Arial"/>
          <w:sz w:val="18"/>
          <w:szCs w:val="18"/>
          <w:i w:val="1"/>
          <w:iCs w:val="1"/>
          <w:color w:val="auto"/>
        </w:rPr>
        <w:t>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included in this report.</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Cash, Cash Equivalents and Marketable Securities</w:t>
      </w:r>
    </w:p>
    <w:p>
      <w:pPr>
        <w:spacing w:after="0" w:line="126"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In March 2020 there was a severe liquidity crisis in the capital markets, particularly with respect to securities with maturities of less than one year, due to the COVID-19 pandemic. This issue impacted pricing of securities in our portfolio as we attempted to decrease our marketable securities level and increase cash, leading to approximately $8.2 million in realized losses for the year ended December 31, 2020. We believe that actions taken by the U.S. Federal Reserve to enhance liquidity have stabilized the capital markets for the time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As of December 31, 2020, we had cash, cash equivalents and marketable securities totaling approximately $3.4 billion compared to approximately $5.9 billion as of December 31, 2019. The net decrease in cash, cash equivalents and marketable securities at December 31, 2020, from December 31, 2019, was primarily due to cash used for share repurchases, the redemption of our 2.90% Senior Notes due September 15, 2020, upfront payments and stock purchases totaling $2.9 billion made in connection with entering into our collaborations with Sage, Denali and Sangamo and net purchases of property, plant and equipment, partially offset by cash flows from operations and net proceeds from the issuance of our 2020 Senior Notes.</w:t>
      </w:r>
    </w:p>
    <w:p>
      <w:pPr>
        <w:spacing w:after="0" w:line="15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Investments and other assets in our consolidated balance sheet as of December 31, 2020 and 2019, include the carrying value of our investment in Samsung Bioepis of $620.2 million and $580.2 million, respectively. As Samsung Bioepis is a privately-held entity, our ability to liquidate our investment in Samsung Bioepis may be limited and we may realize significantly less than the value of such investment. The investment is also subject to foreign currency exchange fluctuations.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our collaboration with Sangamo,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purchased approximately 24 million shares of Sangamo common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in April 2020. As of December 31, 2020, the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investment was $333.7 million. In connection with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collaboration with Denali, we purchased approximately 13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Denali common stock in September 2020.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fair value of this investment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$935.7 million. In connection with our collaboration with Sage,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purchased approximately 6.2 million shares of Sage common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in December 2020. As of December 31, 2020, the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this investment was $433.9 million.</w:t>
      </w:r>
    </w:p>
    <w:p>
      <w:pPr>
        <w:spacing w:after="0" w:line="171" w:lineRule="exact"/>
        <w:rPr>
          <w:sz w:val="20"/>
          <w:szCs w:val="20"/>
          <w:color w:val="auto"/>
        </w:rPr>
      </w:pPr>
    </w:p>
    <w:p>
      <w:pPr>
        <w:jc w:val="both"/>
        <w:ind w:right="180" w:firstLine="445"/>
        <w:spacing w:after="0" w:line="256" w:lineRule="auto"/>
        <w:rPr>
          <w:sz w:val="20"/>
          <w:szCs w:val="20"/>
          <w:color w:val="auto"/>
        </w:rPr>
      </w:pPr>
      <w:r>
        <w:rPr>
          <w:rFonts w:ascii="Arial" w:cs="Arial" w:eastAsia="Arial" w:hAnsi="Arial"/>
          <w:sz w:val="18"/>
          <w:szCs w:val="18"/>
          <w:color w:val="auto"/>
        </w:rPr>
        <w:t>Our investment in Ionis common stock had a fair value of $249.1 million and $329.6 million as of December 31, 2020 and 2019, respectively.</w:t>
      </w:r>
    </w:p>
    <w:p>
      <w:pPr>
        <w:spacing w:after="0" w:line="148"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 xml:space="preserve">For additional information on our collaboration arrangements with Ionis, Samsung Bioepis, Sangamo, Denali and Sage,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40"/>
        <w:spacing w:after="0"/>
        <w:rPr>
          <w:sz w:val="20"/>
          <w:szCs w:val="20"/>
          <w:color w:val="auto"/>
        </w:rPr>
      </w:pPr>
      <w:r>
        <w:rPr>
          <w:rFonts w:ascii="Arial" w:cs="Arial" w:eastAsia="Arial" w:hAnsi="Arial"/>
          <w:sz w:val="18"/>
          <w:szCs w:val="18"/>
          <w:b w:val="1"/>
          <w:bCs w:val="1"/>
          <w:i w:val="1"/>
          <w:iCs w:val="1"/>
          <w:color w:val="2573BA"/>
        </w:rPr>
        <w:t>Borrowings</w:t>
      </w:r>
    </w:p>
    <w:p>
      <w:pPr>
        <w:spacing w:after="0" w:line="193" w:lineRule="exact"/>
        <w:rPr>
          <w:sz w:val="20"/>
          <w:szCs w:val="20"/>
          <w:color w:val="auto"/>
        </w:rPr>
      </w:pPr>
    </w:p>
    <w:p>
      <w:pPr>
        <w:jc w:val="both"/>
        <w:ind w:left="380" w:right="520" w:firstLine="445"/>
        <w:spacing w:after="0" w:line="256" w:lineRule="auto"/>
        <w:rPr>
          <w:sz w:val="20"/>
          <w:szCs w:val="20"/>
          <w:color w:val="auto"/>
        </w:rPr>
      </w:pPr>
      <w:r>
        <w:rPr>
          <w:rFonts w:ascii="Arial" w:cs="Arial" w:eastAsia="Arial" w:hAnsi="Arial"/>
          <w:sz w:val="18"/>
          <w:szCs w:val="18"/>
          <w:color w:val="auto"/>
        </w:rPr>
        <w:t>In April 2020 we issued our 2020 Senior Notes for an aggregate principal amount of $3.0 billion, consisting of the following:</w:t>
      </w:r>
    </w:p>
    <w:p>
      <w:pPr>
        <w:spacing w:after="0" w:line="148" w:lineRule="exact"/>
        <w:rPr>
          <w:sz w:val="20"/>
          <w:szCs w:val="20"/>
          <w:color w:val="auto"/>
        </w:rPr>
      </w:pPr>
    </w:p>
    <w:p>
      <w:pPr>
        <w:ind w:left="800" w:right="440" w:hanging="334"/>
        <w:spacing w:after="0" w:line="261" w:lineRule="auto"/>
        <w:tabs>
          <w:tab w:leader="none" w:pos="7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and</w:t>
      </w:r>
    </w:p>
    <w:p>
      <w:pPr>
        <w:spacing w:after="0" w:line="143" w:lineRule="exact"/>
        <w:rPr>
          <w:rFonts w:ascii="Arial" w:cs="Arial" w:eastAsia="Arial" w:hAnsi="Arial"/>
          <w:sz w:val="18"/>
          <w:szCs w:val="18"/>
          <w:color w:val="auto"/>
        </w:rPr>
      </w:pPr>
    </w:p>
    <w:p>
      <w:pPr>
        <w:ind w:left="800" w:right="440" w:hanging="334"/>
        <w:spacing w:after="0" w:line="261" w:lineRule="auto"/>
        <w:tabs>
          <w:tab w:leader="none" w:pos="7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w:t>
      </w:r>
    </w:p>
    <w:p>
      <w:pPr>
        <w:spacing w:after="0" w:line="144" w:lineRule="exact"/>
        <w:rPr>
          <w:sz w:val="20"/>
          <w:szCs w:val="20"/>
          <w:color w:val="auto"/>
        </w:rPr>
      </w:pPr>
    </w:p>
    <w:p>
      <w:pPr>
        <w:ind w:left="380" w:right="360" w:firstLine="445"/>
        <w:spacing w:after="0" w:line="261" w:lineRule="auto"/>
        <w:rPr>
          <w:sz w:val="20"/>
          <w:szCs w:val="20"/>
          <w:color w:val="auto"/>
        </w:rPr>
      </w:pPr>
      <w:r>
        <w:rPr>
          <w:rFonts w:ascii="Arial" w:cs="Arial" w:eastAsia="Arial" w:hAnsi="Arial"/>
          <w:sz w:val="18"/>
          <w:szCs w:val="18"/>
          <w:color w:val="auto"/>
        </w:rPr>
        <w:t>The following is a summary of our currently outstanding senior secured notes issued in 2015 (2015 Senior Notes):</w:t>
      </w:r>
    </w:p>
    <w:p>
      <w:pPr>
        <w:spacing w:after="0" w:line="90" w:lineRule="exact"/>
        <w:rPr>
          <w:sz w:val="20"/>
          <w:szCs w:val="20"/>
          <w:color w:val="auto"/>
        </w:rPr>
      </w:pPr>
    </w:p>
    <w:p>
      <w:pPr>
        <w:ind w:left="800" w:right="340" w:hanging="334"/>
        <w:spacing w:after="0" w:line="261" w:lineRule="auto"/>
        <w:tabs>
          <w:tab w:leader="none" w:pos="7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 billion aggregate principal amount of 3.625% Senior Notes due September 15, 2022;</w:t>
      </w:r>
    </w:p>
    <w:p>
      <w:pPr>
        <w:spacing w:after="0" w:line="89" w:lineRule="exact"/>
        <w:rPr>
          <w:rFonts w:ascii="Arial" w:cs="Arial" w:eastAsia="Arial" w:hAnsi="Arial"/>
          <w:sz w:val="18"/>
          <w:szCs w:val="18"/>
          <w:color w:val="auto"/>
        </w:rPr>
      </w:pPr>
    </w:p>
    <w:p>
      <w:pPr>
        <w:ind w:left="800" w:right="340" w:hanging="334"/>
        <w:spacing w:after="0" w:line="261" w:lineRule="auto"/>
        <w:tabs>
          <w:tab w:leader="none" w:pos="7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and</w:t>
      </w:r>
    </w:p>
    <w:p>
      <w:pPr>
        <w:spacing w:after="0" w:line="89" w:lineRule="exact"/>
        <w:rPr>
          <w:rFonts w:ascii="Arial" w:cs="Arial" w:eastAsia="Arial" w:hAnsi="Arial"/>
          <w:sz w:val="18"/>
          <w:szCs w:val="18"/>
          <w:color w:val="auto"/>
        </w:rPr>
      </w:pPr>
    </w:p>
    <w:p>
      <w:pPr>
        <w:ind w:left="800" w:right="340" w:hanging="334"/>
        <w:spacing w:after="0" w:line="261" w:lineRule="auto"/>
        <w:tabs>
          <w:tab w:leader="none" w:pos="7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$1.75 billion aggregate principal amount of 5.20% Senior Notes due September 15, 2045.</w:t>
      </w:r>
    </w:p>
    <w:p>
      <w:pPr>
        <w:spacing w:after="0" w:line="90" w:lineRule="exact"/>
        <w:rPr>
          <w:sz w:val="20"/>
          <w:szCs w:val="20"/>
          <w:color w:val="auto"/>
        </w:rPr>
      </w:pPr>
    </w:p>
    <w:p>
      <w:pPr>
        <w:jc w:val="both"/>
        <w:ind w:left="380" w:right="320" w:firstLine="405"/>
        <w:spacing w:after="0" w:line="256" w:lineRule="auto"/>
        <w:rPr>
          <w:sz w:val="20"/>
          <w:szCs w:val="20"/>
          <w:color w:val="auto"/>
        </w:rPr>
      </w:pPr>
      <w:r>
        <w:rPr>
          <w:rFonts w:ascii="Arial" w:cs="Arial" w:eastAsia="Arial" w:hAnsi="Arial"/>
          <w:sz w:val="18"/>
          <w:szCs w:val="18"/>
          <w:color w:val="auto"/>
        </w:rPr>
        <w:t>Our 2020 Senior Notes and our 2015 Senior Notes were issued at a discount and are amortized as additional interest expense over the period from issuance through maturity.</w:t>
      </w:r>
    </w:p>
    <w:p>
      <w:pPr>
        <w:spacing w:after="0" w:line="148" w:lineRule="exact"/>
        <w:rPr>
          <w:sz w:val="20"/>
          <w:szCs w:val="20"/>
          <w:color w:val="auto"/>
        </w:rPr>
      </w:pPr>
    </w:p>
    <w:p>
      <w:pPr>
        <w:ind w:left="380" w:right="360" w:firstLine="405"/>
        <w:spacing w:after="0" w:line="256" w:lineRule="auto"/>
        <w:rPr>
          <w:sz w:val="20"/>
          <w:szCs w:val="20"/>
          <w:color w:val="auto"/>
        </w:rPr>
      </w:pPr>
      <w:r>
        <w:rPr>
          <w:rFonts w:ascii="Arial" w:cs="Arial" w:eastAsia="Arial" w:hAnsi="Arial"/>
          <w:sz w:val="18"/>
          <w:szCs w:val="18"/>
          <w:color w:val="auto"/>
        </w:rPr>
        <w:t>In May 2020 we redeemed our 2.90% Senior Notes due September 15, 2020, with an aggregate principal amount of $1.5 billion.</w:t>
      </w:r>
    </w:p>
    <w:p>
      <w:pPr>
        <w:spacing w:after="0" w:line="148" w:lineRule="exact"/>
        <w:rPr>
          <w:sz w:val="20"/>
          <w:szCs w:val="20"/>
          <w:color w:val="auto"/>
        </w:rPr>
      </w:pPr>
    </w:p>
    <w:p>
      <w:pPr>
        <w:ind w:left="380" w:firstLine="445"/>
        <w:spacing w:after="0" w:line="254" w:lineRule="auto"/>
        <w:rPr>
          <w:sz w:val="20"/>
          <w:szCs w:val="20"/>
          <w:color w:val="auto"/>
        </w:rPr>
      </w:pPr>
      <w:r>
        <w:rPr>
          <w:rFonts w:ascii="Arial" w:cs="Arial" w:eastAsia="Arial" w:hAnsi="Arial"/>
          <w:sz w:val="18"/>
          <w:szCs w:val="18"/>
          <w:color w:val="auto"/>
        </w:rPr>
        <w:t xml:space="preserve">For a summary of the fair values of our outstanding borrowings as of December 31, 2020 and 2019,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Fair Value Measurements, </w:t>
      </w:r>
      <w:r>
        <w:rPr>
          <w:rFonts w:ascii="Arial" w:cs="Arial" w:eastAsia="Arial" w:hAnsi="Arial"/>
          <w:sz w:val="18"/>
          <w:szCs w:val="18"/>
          <w:color w:val="auto"/>
        </w:rPr>
        <w:t>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2020 Credit Facility</w:t>
      </w:r>
    </w:p>
    <w:p>
      <w:pPr>
        <w:spacing w:after="0" w:line="126"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entered into in August 2015. As of December 31, 2020, we had no outstanding borrowings and were in compliance with all covenants under this facility.</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Working Capital</w:t>
      </w:r>
    </w:p>
    <w:p>
      <w:pPr>
        <w:spacing w:after="0" w:line="112" w:lineRule="exact"/>
        <w:rPr>
          <w:sz w:val="20"/>
          <w:szCs w:val="20"/>
          <w:color w:val="auto"/>
        </w:rPr>
      </w:pPr>
    </w:p>
    <w:p>
      <w:pPr>
        <w:ind w:left="380" w:right="200" w:firstLine="445"/>
        <w:spacing w:after="0" w:line="252" w:lineRule="auto"/>
        <w:rPr>
          <w:sz w:val="20"/>
          <w:szCs w:val="20"/>
          <w:color w:val="auto"/>
        </w:rPr>
      </w:pPr>
      <w:r>
        <w:rPr>
          <w:rFonts w:ascii="Arial" w:cs="Arial" w:eastAsia="Arial" w:hAnsi="Arial"/>
          <w:sz w:val="18"/>
          <w:szCs w:val="18"/>
          <w:color w:val="auto"/>
        </w:rPr>
        <w:t>Working capital is defined as current assets less current liabilities. Working capital was $3.1 billion and $3.5 billion as of December 31, 2020 and December 31, 2019, respectively. The change in working capital reflects a decrease in total current assets of approximately $1.5 billion and a decrease in total current liabilities of approximately $1.1 billion.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decrease in total current assets was primarily driven by a decrease in net cash, cash equivalents and marketable securities due to cash used for share repurchases, the redemption of our 2.90% Senior Notes due September 15, 2020, upfront payments and stock purchases totaling $2.9 billion made in connection with entering into our collaborations with Sage, Denali and Sangamo and net purchases of property, plant and equipment, partially offset by cash flows from operations and net proceeds from the issuance of our 2020 Senior Notes.</w:t>
      </w:r>
    </w:p>
    <w:p>
      <w:pPr>
        <w:spacing w:after="0" w:line="158"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The net decrease in current liabilities was primarily due to the redemption of our 2.90% Senior Notes due September 15, 2020, which were classified within current liabilities as of December 31, 2019, partially offset by an increase in accrued expenses and other.</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 Repurchase Programs</w:t>
      </w:r>
    </w:p>
    <w:p>
      <w:pPr>
        <w:spacing w:after="0" w:line="12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1.6 million shares of our common stock at a cost of approximately $400.0 million during the year ended December 31, 2020.</w:t>
      </w:r>
    </w:p>
    <w:p>
      <w:pPr>
        <w:spacing w:after="0" w:line="77"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In December 2019 our Board of Directors authorized our December 2019 Share Repurchase Program, which was a program to repurchase up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$5.0 billion of our common stock that was completed as of September 30, 2020. All shares repurchased under our December 2019 Share Repurchase Program were retired. Under our December 2019 Share Repurchase Program, we repurchased and retired approximately 16.7 million shares of our common stock at a cost of approximately $5.0 billion during the year ended December 31, 2020.</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2019 our Board of Directors authorized our March</w:t>
      </w:r>
    </w:p>
    <w:p>
      <w:pPr>
        <w:spacing w:after="0" w:line="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2019 Share Repurchase Program, which was a program to repurchase up to $5.0 billion of our common stock that was completed as of March 31, 2020. All shares repurchased under our March 2019 Share Repurchase Program were retired. Under our March 2019 Share Repurchase Program, we repurchased and retired approximately 4.1 million and 14.7 million shares of our common stock at a cost of approximately $1.3 billion and $3.7 billion during the years ended December 31, 2020 and 2019, respectively.</w:t>
      </w:r>
    </w:p>
    <w:p>
      <w:pPr>
        <w:spacing w:after="0" w:line="158" w:lineRule="exact"/>
        <w:rPr>
          <w:sz w:val="20"/>
          <w:szCs w:val="20"/>
          <w:color w:val="auto"/>
        </w:rPr>
      </w:pPr>
    </w:p>
    <w:p>
      <w:pPr>
        <w:ind w:right="140" w:firstLine="445"/>
        <w:spacing w:after="0" w:line="251" w:lineRule="auto"/>
        <w:rPr>
          <w:sz w:val="20"/>
          <w:szCs w:val="20"/>
          <w:color w:val="auto"/>
        </w:rPr>
      </w:pPr>
      <w:r>
        <w:rPr>
          <w:rFonts w:ascii="Arial" w:cs="Arial" w:eastAsia="Arial" w:hAnsi="Arial"/>
          <w:sz w:val="18"/>
          <w:szCs w:val="18"/>
          <w:color w:val="auto"/>
        </w:rPr>
        <w:t>In August 2018 our Board of Directors authorized our 2018 Share Repurchase Program, which was a program to repurchase up to $3.5 billion of our common stock that was completed as of June 30, 2019. All share repurchases under our 2018 Share Repurchase Program were retired. Under our 2018 Share Repurchase Program, we repurchased and retired approximately 8.9 million and 4.3 million shares of our common stock at a cost of approximately $2.1 billion and $1.4 billion during the years ended December 31, 2019 and 2018, respectively.</w:t>
      </w:r>
    </w:p>
    <w:p>
      <w:pPr>
        <w:spacing w:after="0" w:line="595" w:lineRule="exact"/>
        <w:rPr>
          <w:sz w:val="20"/>
          <w:szCs w:val="20"/>
          <w:color w:val="auto"/>
        </w:rPr>
      </w:pPr>
    </w:p>
    <w:p>
      <w:pPr>
        <w:sectPr>
          <w:pgSz w:w="11900" w:h="16838" w:orient="portrait"/>
          <w:cols w:equalWidth="0" w:num="2">
            <w:col w:w="5200" w:space="700"/>
            <w:col w:w="5340"/>
          </w:cols>
          <w:pgMar w:left="320" w:top="144"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i w:val="1"/>
          <w:iCs w:val="1"/>
          <w:color w:val="2573BA"/>
        </w:rPr>
        <w:t>Cash Flows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center"/>
              <w:ind w:right="3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gridSpan w:val="3"/>
            <w:vMerge w:val="restart"/>
          </w:tcPr>
          <w:p>
            <w:pPr>
              <w:ind w:left="560"/>
              <w:spacing w:after="0" w:line="122" w:lineRule="exact"/>
              <w:rPr>
                <w:sz w:val="20"/>
                <w:szCs w:val="20"/>
                <w:color w:val="auto"/>
              </w:rPr>
            </w:pPr>
            <w:r>
              <w:rPr>
                <w:rFonts w:ascii="Arial" w:cs="Arial" w:eastAsia="Arial" w:hAnsi="Arial"/>
                <w:sz w:val="14"/>
                <w:szCs w:val="14"/>
                <w:b w:val="1"/>
                <w:bCs w:val="1"/>
                <w:color w:val="auto"/>
              </w:rPr>
              <w:t>vs.</w:t>
            </w:r>
          </w:p>
        </w:tc>
        <w:tc>
          <w:tcPr>
            <w:tcW w:w="940" w:type="dxa"/>
            <w:vAlign w:val="bottom"/>
            <w:vMerge w:val="restart"/>
          </w:tcPr>
          <w:p>
            <w:pPr>
              <w:jc w:val="center"/>
              <w:ind w:right="308"/>
              <w:spacing w:after="0" w:line="122"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61"/>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vMerge w:val="restart"/>
          </w:tcPr>
          <w:p>
            <w:pPr>
              <w:spacing w:after="0"/>
              <w:rPr>
                <w:sz w:val="5"/>
                <w:szCs w:val="5"/>
                <w:color w:val="auto"/>
              </w:rPr>
            </w:pPr>
          </w:p>
        </w:tc>
        <w:tc>
          <w:tcPr>
            <w:tcW w:w="300" w:type="dxa"/>
            <w:vAlign w:val="bottom"/>
            <w:shd w:val="clear" w:color="auto" w:fill="DDDDDD"/>
          </w:tcPr>
          <w:p>
            <w:pPr>
              <w:spacing w:after="0"/>
              <w:rPr>
                <w:sz w:val="5"/>
                <w:szCs w:val="5"/>
                <w:color w:val="auto"/>
              </w:rPr>
            </w:pPr>
          </w:p>
        </w:tc>
        <w:tc>
          <w:tcPr>
            <w:tcW w:w="1060" w:type="dxa"/>
            <w:vAlign w:val="bottom"/>
            <w:vMerge w:val="restart"/>
            <w:shd w:val="clear" w:color="auto" w:fill="DDDDDD"/>
          </w:tcPr>
          <w:p>
            <w:pPr>
              <w:jc w:val="right"/>
              <w:ind w:right="4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060" w:type="dxa"/>
            <w:vAlign w:val="bottom"/>
            <w:tcBorders>
              <w:bottom w:val="single" w:sz="8" w:color="auto"/>
            </w:tcBorders>
            <w:vMerge w:val="continue"/>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4,229.8</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7,078.6</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6,187.7</w:t>
            </w:r>
          </w:p>
        </w:tc>
        <w:tc>
          <w:tcPr>
            <w:tcW w:w="100" w:type="dxa"/>
            <w:vAlign w:val="bottom"/>
          </w:tcPr>
          <w:p>
            <w:pPr>
              <w:spacing w:after="0"/>
              <w:rPr>
                <w:sz w:val="15"/>
                <w:szCs w:val="15"/>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90"/>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Net cash flows provided by (used in) investing activities</w:t>
            </w:r>
          </w:p>
        </w:tc>
        <w:tc>
          <w:tcPr>
            <w:tcW w:w="30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(608.6)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center"/>
              <w:ind w:left="188"/>
              <w:spacing w:after="0"/>
              <w:rPr>
                <w:sz w:val="20"/>
                <w:szCs w:val="20"/>
                <w:color w:val="auto"/>
              </w:rPr>
            </w:pPr>
            <w:r>
              <w:rPr>
                <w:rFonts w:ascii="Arial" w:cs="Arial" w:eastAsia="Arial" w:hAnsi="Arial"/>
                <w:sz w:val="14"/>
                <w:szCs w:val="14"/>
                <w:color w:val="auto"/>
              </w:rPr>
              <w:t>(2,046.3)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2573BA"/>
              </w:rPr>
              <w:t>(229.4)%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8"/>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Net cash flows used in financing activities</w:t>
            </w:r>
          </w:p>
        </w:tc>
        <w:tc>
          <w:tcPr>
            <w:tcW w:w="30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(5,272.7)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(5,860.4)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center"/>
              <w:ind w:left="188"/>
              <w:spacing w:after="0"/>
              <w:rPr>
                <w:sz w:val="20"/>
                <w:szCs w:val="20"/>
                <w:color w:val="auto"/>
              </w:rPr>
            </w:pPr>
            <w:r>
              <w:rPr>
                <w:rFonts w:ascii="Arial" w:cs="Arial" w:eastAsia="Arial" w:hAnsi="Arial"/>
                <w:sz w:val="14"/>
                <w:szCs w:val="14"/>
                <w:color w:val="auto"/>
              </w:rPr>
              <w:t>(4,472.0)</w:t>
            </w:r>
          </w:p>
        </w:tc>
        <w:tc>
          <w:tcPr>
            <w:tcW w:w="100" w:type="dxa"/>
            <w:vAlign w:val="bottom"/>
          </w:tcPr>
          <w:p>
            <w:pPr>
              <w:spacing w:after="0"/>
              <w:rPr>
                <w:sz w:val="16"/>
                <w:szCs w:val="16"/>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2573BA"/>
              </w:rPr>
              <w:t>10.0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-367665</wp:posOffset>
            </wp:positionV>
            <wp:extent cx="848360" cy="3683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4836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7774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ectPr>
          <w:pgSz w:w="11900" w:h="16838" w:orient="portrait"/>
          <w:cols w:equalWidth="0" w:num="1">
            <w:col w:w="11240"/>
          </w:cols>
          <w:pgMar w:left="320" w:top="144" w:right="339" w:bottom="1440" w:gutter="0" w:footer="0" w:header="0"/>
          <w:type w:val="continuous"/>
        </w:sectPr>
      </w:pP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Operating Activities</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cash flow is derived by adjusting our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71" w:lineRule="exact"/>
        <w:rPr>
          <w:sz w:val="20"/>
          <w:szCs w:val="20"/>
          <w:color w:val="auto"/>
        </w:rPr>
      </w:pPr>
    </w:p>
    <w:p>
      <w:pPr>
        <w:ind w:left="420" w:right="200" w:hanging="334"/>
        <w:spacing w:after="0" w:line="254"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non-cash operating items such as depreciation and amortization, impairment charges, unrealized gain (loss) on strategic investments, acquired IPR&amp;D and share-based compensation;</w:t>
      </w:r>
    </w:p>
    <w:p>
      <w:pPr>
        <w:spacing w:after="0" w:line="149" w:lineRule="exact"/>
        <w:rPr>
          <w:rFonts w:ascii="Arial" w:cs="Arial" w:eastAsia="Arial" w:hAnsi="Arial"/>
          <w:sz w:val="18"/>
          <w:szCs w:val="18"/>
          <w:color w:val="auto"/>
        </w:rPr>
      </w:pPr>
    </w:p>
    <w:p>
      <w:pPr>
        <w:ind w:left="420" w:right="180" w:hanging="334"/>
        <w:spacing w:after="0" w:line="256"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w:t>
      </w:r>
    </w:p>
    <w:p>
      <w:pPr>
        <w:spacing w:after="0" w:line="200" w:lineRule="exact"/>
        <w:rPr>
          <w:sz w:val="20"/>
          <w:szCs w:val="20"/>
          <w:color w:val="auto"/>
        </w:rPr>
      </w:pPr>
    </w:p>
    <w:p>
      <w:pPr>
        <w:sectPr>
          <w:pgSz w:w="11900" w:h="16838" w:orient="portrait"/>
          <w:cols w:equalWidth="0" w:num="2">
            <w:col w:w="5180" w:space="720"/>
            <w:col w:w="5340"/>
          </w:cols>
          <w:pgMar w:left="320" w:top="144" w:right="33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right="380"/>
        <w:spacing w:after="0" w:line="261" w:lineRule="auto"/>
        <w:rPr>
          <w:sz w:val="20"/>
          <w:szCs w:val="20"/>
          <w:color w:val="auto"/>
        </w:rPr>
      </w:pPr>
      <w:r>
        <w:rPr>
          <w:rFonts w:ascii="Arial" w:cs="Arial" w:eastAsia="Arial" w:hAnsi="Arial"/>
          <w:sz w:val="18"/>
          <w:szCs w:val="18"/>
          <w:color w:val="auto"/>
        </w:rPr>
        <w:t>transactions and when they are recognized in results of operations; and</w:t>
      </w:r>
    </w:p>
    <w:p>
      <w:pPr>
        <w:spacing w:after="0" w:line="144" w:lineRule="exact"/>
        <w:rPr>
          <w:sz w:val="20"/>
          <w:szCs w:val="20"/>
          <w:color w:val="auto"/>
        </w:rPr>
      </w:pPr>
    </w:p>
    <w:p>
      <w:pPr>
        <w:jc w:val="both"/>
        <w:ind w:left="420" w:right="40" w:hanging="331"/>
        <w:spacing w:after="0" w:line="256"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changes in the fair value of contingent payments associated with our acquisitions of businesses and payments related to collaborations.</w:t>
      </w:r>
    </w:p>
    <w:p>
      <w:pPr>
        <w:spacing w:after="0" w:line="14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 2020 compared to 2019, the decrease in net cash flows provided by operating activities was primarily due to lower net income as well as increases in certain working capital asset balances. Net income in 2020 reflected approximately $1,084.0 million, $601.3 million and $208.0 million of upfront payments made in connection with entering into our collaborations with Sage, Denali and Sangamo, respectively.</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Investing Activities</w:t>
      </w:r>
    </w:p>
    <w:p>
      <w:pPr>
        <w:spacing w:after="0" w:line="122"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For 2020 compared to 2019, the increase in net cash flows used in investing activities was primarily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due to the purchases of the common stock of Sangamo, Denali and Sage totaling $1.0 billion during 2020 and proceeds of $923.7 million received in 2019 related to the divestiture of our Hillerød, Denmark manufacturing operations, partially offset by higher proceeds received from the sale of investments as compared to the prior year.</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Financing Activities</w:t>
      </w:r>
    </w:p>
    <w:p>
      <w:pPr>
        <w:spacing w:after="0" w:line="108"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For 2020 compared to 2019, the decrease in net cash flows used in financing activities was primarily due to the net proceeds received from the issuance of our 2020 Senior Notes offset by a higher amount spent on shares repurchased in 2020 as compared to the comparative period in 2019 and the redemption of our 2.90% Senior Notes due September 15, 2020.</w:t>
      </w:r>
    </w:p>
    <w:p>
      <w:pPr>
        <w:spacing w:after="0" w:line="1047" w:lineRule="exact"/>
        <w:rPr>
          <w:sz w:val="20"/>
          <w:szCs w:val="20"/>
          <w:color w:val="auto"/>
        </w:rPr>
      </w:pPr>
    </w:p>
    <w:p>
      <w:pPr>
        <w:sectPr>
          <w:pgSz w:w="11900" w:h="16838" w:orient="portrait"/>
          <w:cols w:equalWidth="0" w:num="2">
            <w:col w:w="5200" w:space="700"/>
            <w:col w:w="5340"/>
          </w:cols>
          <w:pgMar w:left="320" w:top="144" w:right="3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Contractual Obligations and Off-Balance Sheet Arrangements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Contractual Obligations</w:t>
      </w:r>
    </w:p>
    <w:p>
      <w:pPr>
        <w:spacing w:after="0" w:line="112" w:lineRule="exact"/>
        <w:rPr>
          <w:sz w:val="20"/>
          <w:szCs w:val="20"/>
          <w:color w:val="auto"/>
        </w:rPr>
      </w:pPr>
    </w:p>
    <w:p>
      <w:pPr>
        <w:ind w:right="560" w:firstLine="445"/>
        <w:spacing w:after="0" w:line="256" w:lineRule="auto"/>
        <w:rPr>
          <w:sz w:val="20"/>
          <w:szCs w:val="20"/>
          <w:color w:val="auto"/>
        </w:rPr>
      </w:pPr>
      <w:r>
        <w:rPr>
          <w:rFonts w:ascii="Arial" w:cs="Arial" w:eastAsia="Arial" w:hAnsi="Arial"/>
          <w:sz w:val="18"/>
          <w:szCs w:val="18"/>
          <w:color w:val="auto"/>
        </w:rPr>
        <w:t>The following table summarizes our contractual obligations as of December 31, 2020,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right="128"/>
              <w:spacing w:after="0"/>
              <w:rPr>
                <w:sz w:val="20"/>
                <w:szCs w:val="20"/>
                <w:color w:val="auto"/>
              </w:rPr>
            </w:pPr>
            <w:r>
              <w:rPr>
                <w:rFonts w:ascii="Arial" w:cs="Arial" w:eastAsia="Arial" w:hAnsi="Arial"/>
                <w:sz w:val="14"/>
                <w:szCs w:val="14"/>
                <w:b w:val="1"/>
                <w:bCs w:val="1"/>
                <w:color w:val="auto"/>
              </w:rPr>
              <w:t>Payments Due by Period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2"/>
                <w:szCs w:val="12"/>
                <w:color w:val="auto"/>
              </w:rPr>
            </w:pPr>
          </w:p>
        </w:tc>
        <w:tc>
          <w:tcPr>
            <w:tcW w:w="11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2"/>
                <w:szCs w:val="12"/>
                <w:color w:val="auto"/>
              </w:rPr>
            </w:pPr>
          </w:p>
        </w:tc>
        <w:tc>
          <w:tcPr>
            <w:tcW w:w="108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Borders>
              <w:bottom w:val="single" w:sz="8" w:color="DDDDD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DDDD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Non-cancellable operating leases </w:t>
            </w:r>
            <w:r>
              <w:rPr>
                <w:rFonts w:ascii="Arial" w:cs="Arial" w:eastAsia="Arial" w:hAnsi="Arial"/>
                <w:sz w:val="9"/>
                <w:szCs w:val="9"/>
                <w:color w:val="auto"/>
              </w:rPr>
              <w:t>(1)(2)</w:t>
            </w: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387.8</w:t>
            </w:r>
          </w:p>
        </w:tc>
        <w:tc>
          <w:tcPr>
            <w:tcW w:w="340" w:type="dxa"/>
            <w:vAlign w:val="bottom"/>
            <w:gridSpan w:val="3"/>
            <w:shd w:val="clear" w:color="auto" w:fill="DDDDDD"/>
          </w:tcPr>
          <w:p>
            <w:pPr>
              <w:jc w:val="right"/>
              <w:ind w:right="120"/>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70.3</w:t>
            </w:r>
          </w:p>
        </w:tc>
        <w:tc>
          <w:tcPr>
            <w:tcW w:w="480" w:type="dxa"/>
            <w:vAlign w:val="bottom"/>
            <w:gridSpan w:val="3"/>
            <w:shd w:val="clear" w:color="auto" w:fill="DDDDDD"/>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123.6</w:t>
            </w: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89.6</w:t>
            </w:r>
          </w:p>
        </w:tc>
        <w:tc>
          <w:tcPr>
            <w:tcW w:w="100" w:type="dxa"/>
            <w:vAlign w:val="bottom"/>
            <w:shd w:val="clear" w:color="auto" w:fill="DDDDDD"/>
          </w:tcPr>
          <w:p>
            <w:pPr>
              <w:spacing w:after="0"/>
              <w:rPr>
                <w:sz w:val="15"/>
                <w:szCs w:val="15"/>
                <w:color w:val="auto"/>
              </w:rPr>
            </w:pP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104.3</w:t>
            </w: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Long-term debt obligations </w:t>
            </w:r>
            <w:r>
              <w:rPr>
                <w:rFonts w:ascii="Arial" w:cs="Arial" w:eastAsia="Arial" w:hAnsi="Arial"/>
                <w:sz w:val="9"/>
                <w:szCs w:val="9"/>
                <w:color w:val="auto"/>
              </w:rPr>
              <w:t>(3)</w:t>
            </w:r>
          </w:p>
        </w:tc>
        <w:tc>
          <w:tcPr>
            <w:tcW w:w="26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11,853.0</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279.1</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1,512.9</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2,218.0</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7,843.0</w:t>
            </w: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Purchase and other obligations </w:t>
            </w:r>
            <w:r>
              <w:rPr>
                <w:rFonts w:ascii="Arial" w:cs="Arial" w:eastAsia="Arial" w:hAnsi="Arial"/>
                <w:sz w:val="9"/>
                <w:szCs w:val="9"/>
                <w:color w:val="auto"/>
              </w:rPr>
              <w:t>(4)</w:t>
            </w:r>
          </w:p>
        </w:tc>
        <w:tc>
          <w:tcPr>
            <w:tcW w:w="26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1,248.0</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398.3</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420.0</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424.6</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w:t>
            </w: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Defined benefit obligation</w:t>
            </w:r>
          </w:p>
        </w:tc>
        <w:tc>
          <w:tcPr>
            <w:tcW w:w="2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151.2</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DDDDD"/>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DDDDD"/>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DDDDD"/>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DDDDD"/>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151.2</w:t>
            </w:r>
          </w:p>
        </w:tc>
        <w:tc>
          <w:tcPr>
            <w:tcW w:w="0" w:type="dxa"/>
            <w:vAlign w:val="bottom"/>
          </w:tcPr>
          <w:p>
            <w:pPr>
              <w:spacing w:after="0"/>
              <w:rPr>
                <w:sz w:val="1"/>
                <w:szCs w:val="1"/>
                <w:color w:val="auto"/>
              </w:rPr>
            </w:pPr>
          </w:p>
        </w:tc>
      </w:tr>
      <w:tr>
        <w:trPr>
          <w:trHeight w:val="202"/>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Total contractual obligations</w:t>
            </w: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13,640.0</w:t>
            </w:r>
          </w:p>
        </w:tc>
        <w:tc>
          <w:tcPr>
            <w:tcW w:w="340" w:type="dxa"/>
            <w:vAlign w:val="bottom"/>
            <w:gridSpan w:val="3"/>
            <w:shd w:val="clear" w:color="auto" w:fill="DDDDDD"/>
          </w:tcPr>
          <w:p>
            <w:pPr>
              <w:jc w:val="right"/>
              <w:ind w:right="120"/>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747.7</w:t>
            </w:r>
          </w:p>
        </w:tc>
        <w:tc>
          <w:tcPr>
            <w:tcW w:w="480" w:type="dxa"/>
            <w:vAlign w:val="bottom"/>
            <w:gridSpan w:val="3"/>
            <w:shd w:val="clear" w:color="auto" w:fill="DDDDDD"/>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2,056.5</w:t>
            </w: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2,732.2</w:t>
            </w: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8,103.6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40" w:firstLine="8"/>
        <w:spacing w:after="0" w:line="249" w:lineRule="auto"/>
        <w:tabs>
          <w:tab w:leader="none" w:pos="154" w:val="left"/>
        </w:tabs>
        <w:numPr>
          <w:ilvl w:val="0"/>
          <w:numId w:val="77"/>
        </w:numPr>
        <w:rPr>
          <w:rFonts w:ascii="Arial" w:cs="Arial" w:eastAsia="Arial" w:hAnsi="Arial"/>
          <w:sz w:val="9"/>
          <w:szCs w:val="9"/>
          <w:color w:val="auto"/>
        </w:rPr>
      </w:pPr>
      <w:r>
        <w:rPr>
          <w:rFonts w:ascii="Arial" w:cs="Arial" w:eastAsia="Arial" w:hAnsi="Arial"/>
          <w:sz w:val="14"/>
          <w:szCs w:val="14"/>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expenses.</w:t>
      </w:r>
    </w:p>
    <w:p>
      <w:pPr>
        <w:spacing w:after="0" w:line="38" w:lineRule="exact"/>
        <w:rPr>
          <w:rFonts w:ascii="Arial" w:cs="Arial" w:eastAsia="Arial" w:hAnsi="Arial"/>
          <w:sz w:val="9"/>
          <w:szCs w:val="9"/>
          <w:color w:val="auto"/>
        </w:rPr>
      </w:pPr>
    </w:p>
    <w:p>
      <w:pPr>
        <w:ind w:right="100" w:firstLine="8"/>
        <w:spacing w:after="0" w:line="258" w:lineRule="auto"/>
        <w:tabs>
          <w:tab w:leader="none" w:pos="154" w:val="left"/>
        </w:tabs>
        <w:numPr>
          <w:ilvl w:val="0"/>
          <w:numId w:val="77"/>
        </w:numPr>
        <w:rPr>
          <w:rFonts w:ascii="Arial" w:cs="Arial" w:eastAsia="Arial" w:hAnsi="Arial"/>
          <w:sz w:val="9"/>
          <w:szCs w:val="9"/>
          <w:color w:val="auto"/>
        </w:rPr>
      </w:pPr>
      <w:r>
        <w:rPr>
          <w:rFonts w:ascii="Arial" w:cs="Arial" w:eastAsia="Arial" w:hAnsi="Arial"/>
          <w:sz w:val="14"/>
          <w:szCs w:val="14"/>
          <w:color w:val="auto"/>
        </w:rPr>
        <w:t>Obligations are presented net of sublease income expected to be received for our vacated small-scale biologics manufacturing facility in Cambridge, MA, the vacated portion of our Weston, MA facility and other facilities throughout the world.</w:t>
      </w:r>
    </w:p>
    <w:p>
      <w:pPr>
        <w:spacing w:after="0" w:line="31" w:lineRule="exact"/>
        <w:rPr>
          <w:rFonts w:ascii="Arial" w:cs="Arial" w:eastAsia="Arial" w:hAnsi="Arial"/>
          <w:sz w:val="9"/>
          <w:szCs w:val="9"/>
          <w:color w:val="auto"/>
        </w:rPr>
      </w:pPr>
    </w:p>
    <w:p>
      <w:pPr>
        <w:ind w:left="160" w:hanging="152"/>
        <w:spacing w:after="0"/>
        <w:tabs>
          <w:tab w:leader="none" w:pos="160" w:val="left"/>
        </w:tabs>
        <w:numPr>
          <w:ilvl w:val="0"/>
          <w:numId w:val="77"/>
        </w:numPr>
        <w:rPr>
          <w:rFonts w:ascii="Arial" w:cs="Arial" w:eastAsia="Arial" w:hAnsi="Arial"/>
          <w:sz w:val="9"/>
          <w:szCs w:val="9"/>
          <w:color w:val="auto"/>
        </w:rPr>
      </w:pPr>
      <w:r>
        <w:rPr>
          <w:rFonts w:ascii="Arial" w:cs="Arial" w:eastAsia="Arial" w:hAnsi="Arial"/>
          <w:sz w:val="14"/>
          <w:szCs w:val="14"/>
          <w:color w:val="auto"/>
        </w:rPr>
        <w:t>Long-term debt obligations are related to our 2015 Senior Notes and our 2020 Senior Notes, including principal and interest payments.</w:t>
      </w:r>
    </w:p>
    <w:p>
      <w:pPr>
        <w:spacing w:after="0" w:line="55" w:lineRule="exact"/>
        <w:rPr>
          <w:rFonts w:ascii="Arial" w:cs="Arial" w:eastAsia="Arial" w:hAnsi="Arial"/>
          <w:sz w:val="9"/>
          <w:szCs w:val="9"/>
          <w:color w:val="auto"/>
        </w:rPr>
      </w:pPr>
    </w:p>
    <w:p>
      <w:pPr>
        <w:ind w:right="720" w:firstLine="8"/>
        <w:spacing w:after="0" w:line="258" w:lineRule="auto"/>
        <w:tabs>
          <w:tab w:leader="none" w:pos="154" w:val="left"/>
        </w:tabs>
        <w:numPr>
          <w:ilvl w:val="0"/>
          <w:numId w:val="77"/>
        </w:numPr>
        <w:rPr>
          <w:rFonts w:ascii="Arial" w:cs="Arial" w:eastAsia="Arial" w:hAnsi="Arial"/>
          <w:sz w:val="9"/>
          <w:szCs w:val="9"/>
          <w:color w:val="auto"/>
        </w:rPr>
      </w:pPr>
      <w:r>
        <w:rPr>
          <w:rFonts w:ascii="Arial" w:cs="Arial" w:eastAsia="Arial" w:hAnsi="Arial"/>
          <w:sz w:val="14"/>
          <w:szCs w:val="14"/>
          <w:color w:val="auto"/>
        </w:rPr>
        <w:t>Purchase and other obligations include $697.0 million related to the remaining payments on a one-time mandatory deemed repatriation tax on accumulated foreign subsidiaries' previously untaxed foreign earnings (the Transition Toll Tax) and $217.2 million related to the fair value of net liabilities on derivative contracts.</w:t>
      </w:r>
    </w:p>
    <w:p>
      <w:pPr>
        <w:sectPr>
          <w:pgSz w:w="11900" w:h="16838" w:orient="portrait"/>
          <w:cols w:equalWidth="0" w:num="1">
            <w:col w:w="11240"/>
          </w:cols>
          <w:pgMar w:left="320" w:top="144" w:right="339" w:bottom="1440" w:gutter="0" w:footer="0" w:header="0"/>
          <w:type w:val="continuous"/>
        </w:sectPr>
      </w:pP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Royalty Payments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TYSABRI</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2013 we acquired from Elan Pharma International Ltd. (Elan), an affiliate of Elan Corporation plc, full ownership of all remaining rights to TYSABRI that we did not already own or control. Under the acquisition agreement, we are obligated to make contingent payments to Elan of 18.0% on annual worldwide net sales up to $2.0 billion and 25.0% on annual worldwide net sales that exceed $2.0 billion. Royalty payments to Elan and other third</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parties are recognized as cost of sales in our consolidated statements of income. Elan was acquired by Perrigo Company plc (Perrigo) in December 2013 and Perrigo subsequently sold its rights to these payments to a third-party effective January 2017.</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SPINRAZA</w:t>
      </w:r>
    </w:p>
    <w:p>
      <w:pPr>
        <w:spacing w:after="0" w:line="122"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In 2016 we exercised our option to develop and commercialize SPINRAZA from Ionis. Under our agreement with Ionis, we make royalty payments to Ionis on annual worldwide net sales of SPINRAZA</w:t>
      </w:r>
    </w:p>
    <w:p>
      <w:pPr>
        <w:spacing w:after="0" w:line="319" w:lineRule="exact"/>
        <w:rPr>
          <w:sz w:val="20"/>
          <w:szCs w:val="20"/>
          <w:color w:val="auto"/>
        </w:rPr>
      </w:pPr>
    </w:p>
    <w:p>
      <w:pPr>
        <w:sectPr>
          <w:pgSz w:w="11900" w:h="16838" w:orient="portrait"/>
          <w:cols w:equalWidth="0" w:num="2">
            <w:col w:w="5220" w:space="680"/>
            <w:col w:w="5340"/>
          </w:cols>
          <w:pgMar w:left="320" w:top="144" w:right="339"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using a tiered royalty rate between 11.0% and 15.0%, which are recognized as cost of sales in our consolidated statements of income. For additional information on our collaboration arrangements with Ionis,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VUMERITY</w:t>
      </w:r>
    </w:p>
    <w:p>
      <w:pPr>
        <w:spacing w:after="0" w:line="10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In October 2019 the FDA approved VUMERITY for the treatment of RMS. Under our agreement with Alkermes, we make royalty payments to Alkermes on worldwide net commercial sales of VUMERITY using a royalty rate of 15.0%, which are recorded as cost of sales in our consolidated statements of income. Royalties payable on net commercial sales of VUMERITY are subject, under certain circumstances, to tiered minimum annual payment requirements for a period of five years following FDA approval. For additional information on our collaboration arrangement with Alkermes, please read </w:t>
      </w:r>
      <w:r>
        <w:rPr>
          <w:rFonts w:ascii="Arial" w:cs="Arial" w:eastAsia="Arial" w:hAnsi="Arial"/>
          <w:sz w:val="18"/>
          <w:szCs w:val="18"/>
          <w:i w:val="1"/>
          <w:iCs w:val="1"/>
          <w:color w:val="auto"/>
        </w:rPr>
        <w:t>Note 18, 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Relationships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34" w:lineRule="exact"/>
        <w:rPr>
          <w:sz w:val="20"/>
          <w:szCs w:val="20"/>
          <w:color w:val="auto"/>
        </w:rPr>
      </w:pPr>
    </w:p>
    <w:p>
      <w:pPr>
        <w:ind w:right="1100" w:firstLine="202"/>
        <w:spacing w:after="0" w:line="287" w:lineRule="auto"/>
        <w:rPr>
          <w:sz w:val="20"/>
          <w:szCs w:val="20"/>
          <w:color w:val="auto"/>
        </w:rPr>
      </w:pPr>
      <w:r>
        <w:rPr>
          <w:rFonts w:ascii="Arial" w:cs="Arial" w:eastAsia="Arial" w:hAnsi="Arial"/>
          <w:sz w:val="18"/>
          <w:szCs w:val="18"/>
          <w:b w:val="1"/>
          <w:bCs w:val="1"/>
          <w:i w:val="1"/>
          <w:iCs w:val="1"/>
          <w:color w:val="2573BA"/>
        </w:rPr>
        <w:t>Contingent Consideration related to Business Combinations</w:t>
      </w:r>
    </w:p>
    <w:p>
      <w:pPr>
        <w:spacing w:after="0" w:line="53"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In connection with our acquisition of Convergence Pharmaceuticals Ltd. we agreed to make additional payments based upon the achievement of certain milestone events.</w:t>
      </w:r>
    </w:p>
    <w:p>
      <w:pPr>
        <w:spacing w:after="0" w:line="148" w:lineRule="exact"/>
        <w:rPr>
          <w:sz w:val="20"/>
          <w:szCs w:val="20"/>
          <w:color w:val="auto"/>
        </w:rPr>
      </w:pPr>
    </w:p>
    <w:p>
      <w:pPr>
        <w:ind w:right="380" w:firstLine="445"/>
        <w:spacing w:after="0" w:line="253" w:lineRule="auto"/>
        <w:rPr>
          <w:sz w:val="20"/>
          <w:szCs w:val="20"/>
          <w:color w:val="auto"/>
        </w:rPr>
      </w:pPr>
      <w:r>
        <w:rPr>
          <w:rFonts w:ascii="Arial" w:cs="Arial" w:eastAsia="Arial" w:hAnsi="Arial"/>
          <w:sz w:val="18"/>
          <w:szCs w:val="18"/>
          <w:color w:val="auto"/>
        </w:rPr>
        <w:t>We recognized the contingent consideration liabilities associated with these transactions at their fair value on the acquisition date and revalue these obligations each reporting period. We may pay up to approximately $400.0 million in remaining milestones related to these acquisitions.</w:t>
      </w:r>
    </w:p>
    <w:p>
      <w:pPr>
        <w:spacing w:after="0" w:line="129" w:lineRule="exact"/>
        <w:rPr>
          <w:sz w:val="20"/>
          <w:szCs w:val="20"/>
          <w:color w:val="auto"/>
        </w:rPr>
      </w:pPr>
    </w:p>
    <w:p>
      <w:pPr>
        <w:ind w:right="400" w:firstLine="202"/>
        <w:spacing w:after="0" w:line="287" w:lineRule="auto"/>
        <w:rPr>
          <w:sz w:val="20"/>
          <w:szCs w:val="20"/>
          <w:color w:val="auto"/>
        </w:rPr>
      </w:pPr>
      <w:r>
        <w:rPr>
          <w:rFonts w:ascii="Arial" w:cs="Arial" w:eastAsia="Arial" w:hAnsi="Arial"/>
          <w:sz w:val="18"/>
          <w:szCs w:val="18"/>
          <w:b w:val="1"/>
          <w:bCs w:val="1"/>
          <w:i w:val="1"/>
          <w:iCs w:val="1"/>
          <w:color w:val="2573BA"/>
        </w:rPr>
        <w:t>Contingent Development, Regulatory and Commercial Milestone Payments</w:t>
      </w:r>
    </w:p>
    <w:p>
      <w:pPr>
        <w:spacing w:after="0" w:line="5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Based on our development plans as of December 31, 2020, we could trigger potential future milestone payments to third parties of up to approximately $10.2 billion, including approximately $1.9 billion in development milestones, approximately $1.3 billion in regulatory milestones and approximately $7.0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2020, such contingencies have not been recorded in our financial statements. Amounts related to contingent milestone payments are not considered contractual obligations as they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380" w:right="1080"/>
        <w:spacing w:after="0" w:line="261" w:lineRule="auto"/>
        <w:rPr>
          <w:sz w:val="20"/>
          <w:szCs w:val="20"/>
          <w:color w:val="auto"/>
        </w:rPr>
      </w:pPr>
      <w:r>
        <w:rPr>
          <w:rFonts w:ascii="Arial" w:cs="Arial" w:eastAsia="Arial" w:hAnsi="Arial"/>
          <w:sz w:val="18"/>
          <w:szCs w:val="18"/>
          <w:color w:val="auto"/>
        </w:rPr>
        <w:t>contingent on the successful achievement of certain development, regulatory or commercial milestones.</w:t>
      </w:r>
    </w:p>
    <w:p>
      <w:pPr>
        <w:spacing w:after="0" w:line="144"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If certain clinical and commercial milestones are met, we may pay up to $86.2 million in milestones in 2021 under our current agreements. Additionally, if aducanumab receives regulatory approval in the jurisdictions where we have submitted filings, we may pay up to $200.0 million in milestones to Neurimmune in 2021, which includes $100.0 million if launched in the U.S., $50.0 million if launched in three or more countries within the E.U. and $50.0 million if launched in Japan. Milestones payable to Neurimmune are shared expenses under the Aducanumab Collaboration Agreement with Eisai.</w:t>
      </w:r>
    </w:p>
    <w:p>
      <w:pPr>
        <w:spacing w:after="0" w:line="1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During the second quarter of 2020, we paid Neurimmune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$75.0 million upon the completed submission of the BLA for the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approval of aducanumab to the FDA, which was recognized as 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charge to noncontrolling interests for the year ended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December 31, 2020. In addition, for the year ended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December 31, 2020, we recognized net profit-sharing income of</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$33.8 million to reflect Eisai's 45.0% share of the $75.0 million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milestone expense.</w:t>
      </w:r>
    </w:p>
    <w:p>
      <w:pPr>
        <w:spacing w:after="0" w:line="171" w:lineRule="exact"/>
        <w:rPr>
          <w:sz w:val="20"/>
          <w:szCs w:val="20"/>
          <w:color w:val="auto"/>
        </w:rPr>
      </w:pPr>
    </w:p>
    <w:p>
      <w:pPr>
        <w:ind w:left="380" w:right="8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50" w:lineRule="exact"/>
        <w:rPr>
          <w:sz w:val="20"/>
          <w:szCs w:val="20"/>
          <w:color w:val="auto"/>
        </w:rPr>
      </w:pPr>
    </w:p>
    <w:p>
      <w:pPr>
        <w:ind w:left="38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19,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Other Funding Commitments</w:t>
      </w:r>
    </w:p>
    <w:p>
      <w:pPr>
        <w:spacing w:after="0" w:line="112"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As of December 31, 2020, we have several ongoing clinical studies in various clinical trial stages. Our most significant clinical trial expenditures are to CROs. The contracts with CROs are generally cancellable, with notice, at our option. We recorded accrued expenses of approximately $21.7 million in our consolidated balance sheet for expenditures incurred by CROs as of December 31, 2020. We have approximately $593.0 million in cancellable future commitments based on existing CRO contracts as of December 31, 2020.</w:t>
      </w:r>
    </w:p>
    <w:p>
      <w:pPr>
        <w:spacing w:after="0" w:line="158" w:lineRule="exact"/>
        <w:rPr>
          <w:sz w:val="20"/>
          <w:szCs w:val="20"/>
          <w:color w:val="auto"/>
        </w:rPr>
      </w:pPr>
    </w:p>
    <w:p>
      <w:pPr>
        <w:ind w:left="380" w:right="80" w:firstLine="445"/>
        <w:spacing w:after="0" w:line="252" w:lineRule="auto"/>
        <w:rPr>
          <w:sz w:val="20"/>
          <w:szCs w:val="20"/>
          <w:color w:val="auto"/>
        </w:rPr>
      </w:pPr>
      <w:r>
        <w:rPr>
          <w:rFonts w:ascii="Arial" w:cs="Arial" w:eastAsia="Arial" w:hAnsi="Arial"/>
          <w:sz w:val="18"/>
          <w:szCs w:val="18"/>
          <w:color w:val="auto"/>
        </w:rPr>
        <w:t>As part of the sale of our Hillerød, Denmark manufacturing operations to FUJIFILM,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developed this estimate using a probability-weighted estimate of</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future manufacturing activity and may further adjust this estimate based upon changes in business conditions, which may result in the increase or reduction of this adverse commitment obligation in subsequent periods.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Tax Related Obligations</w:t>
      </w:r>
    </w:p>
    <w:p>
      <w:pPr>
        <w:spacing w:after="0" w:line="126"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2020, we have approximately $79.6 million of liabilities associated with uncertain tax positions.</w:t>
      </w:r>
    </w:p>
    <w:p>
      <w:pPr>
        <w:spacing w:after="0" w:line="15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As of December 31, 2020 and 2019, included in other long-term liabilities we have accrued approximately $697.0 million, respectively, under a one-time mandatory deemed repatriation tax on accumulated foreign subsidiaries' previously untaxed foreign earnings (the Transition Toll Tax). Of the amounts accrued as of December 31, 2020, $62.0 million is expected to be paid within one year. The Transition Toll Tax will be paid over an eight--year period, which started in 2018, and does not accrue interest.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Off-Balance Sheet Arrangements</w:t>
      </w:r>
    </w:p>
    <w:p>
      <w:pPr>
        <w:spacing w:after="0" w:line="112"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New Accounting Standards</w:t>
      </w:r>
    </w:p>
    <w:p>
      <w:pPr>
        <w:spacing w:after="0" w:line="116"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 xml:space="preserve">Note 1, Summary of Significant Accounting Policies,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Legal Matters</w:t>
      </w:r>
    </w:p>
    <w:p>
      <w:pPr>
        <w:spacing w:after="0" w:line="116"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 xml:space="preserve">For a discussion of legal matters as of December 31, 2020,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Critical Accounting Policies and Estimates</w:t>
      </w:r>
    </w:p>
    <w:p>
      <w:pPr>
        <w:spacing w:after="0" w:line="103"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The preparation of our consolidated financial statements, which have been prepared in accordance with accounting principles generally accepted in the U.S. (U.S. GAAP), requires us to make estimates, judgments and assumptions that may affect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right="120"/>
        <w:spacing w:after="0" w:line="251" w:lineRule="auto"/>
        <w:rPr>
          <w:sz w:val="20"/>
          <w:szCs w:val="20"/>
          <w:color w:val="auto"/>
        </w:rPr>
      </w:pPr>
      <w:r>
        <w:rPr>
          <w:rFonts w:ascii="Arial" w:cs="Arial" w:eastAsia="Arial" w:hAnsi="Arial"/>
          <w:sz w:val="18"/>
          <w:szCs w:val="18"/>
          <w:color w:val="auto"/>
        </w:rPr>
        <w:t xml:space="preserve">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expenses. Actual results may differ from these estimates. Other significant accounting policies are outlined in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Revenue Recognition</w:t>
      </w:r>
    </w:p>
    <w:p>
      <w:pPr>
        <w:spacing w:after="0" w:line="193" w:lineRule="exact"/>
        <w:rPr>
          <w:sz w:val="20"/>
          <w:szCs w:val="20"/>
          <w:color w:val="auto"/>
        </w:rPr>
      </w:pPr>
    </w:p>
    <w:p>
      <w:pPr>
        <w:ind w:left="380" w:firstLine="445"/>
        <w:spacing w:after="0" w:line="265" w:lineRule="auto"/>
        <w:rPr>
          <w:sz w:val="20"/>
          <w:szCs w:val="20"/>
          <w:color w:val="auto"/>
        </w:rPr>
      </w:pPr>
      <w:r>
        <w:rPr>
          <w:rFonts w:ascii="Arial" w:cs="Arial" w:eastAsia="Arial" w:hAnsi="Arial"/>
          <w:sz w:val="17"/>
          <w:szCs w:val="17"/>
          <w:color w:val="auto"/>
        </w:rPr>
        <w:t xml:space="preserve">We recognize revenues when our customer obtains control of promised goods or services, in an amount that reflects the consideration which we expect to receive in exchange for those goods or services. We recognize revenues following the five-step model prescribed under Financial Accounting Standards Board (FASB) Accounting Standards Codification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(i) identify contract(s) with a customer;</w:t>
      </w:r>
    </w:p>
    <w:p>
      <w:pPr>
        <w:spacing w:after="0" w:line="1" w:lineRule="exact"/>
        <w:rPr>
          <w:sz w:val="20"/>
          <w:szCs w:val="20"/>
          <w:color w:val="auto"/>
        </w:rPr>
      </w:pPr>
    </w:p>
    <w:p>
      <w:pPr>
        <w:ind w:left="380" w:right="40" w:firstLine="5"/>
        <w:spacing w:after="0" w:line="273" w:lineRule="auto"/>
        <w:tabs>
          <w:tab w:leader="none" w:pos="63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(iii) determine the transaction price; (iv) allocate the transaction price to the performance obligations in the contract; and (v) recognize revenues when (or as) we satisfy the performance obligation.</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Product Revenues</w:t>
      </w:r>
    </w:p>
    <w:p>
      <w:pPr>
        <w:spacing w:after="0" w:line="108"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In the U.S., we sell our products primarily to wholesale distributors and specialty pharmacy providers.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90" w:lineRule="exact"/>
        <w:rPr>
          <w:sz w:val="20"/>
          <w:szCs w:val="20"/>
          <w:color w:val="auto"/>
        </w:rPr>
      </w:pPr>
    </w:p>
    <w:p>
      <w:pPr>
        <w:ind w:left="380" w:right="80" w:firstLine="445"/>
        <w:spacing w:after="0" w:line="252" w:lineRule="auto"/>
        <w:rPr>
          <w:sz w:val="20"/>
          <w:szCs w:val="20"/>
          <w:color w:val="auto"/>
        </w:rPr>
      </w:pPr>
      <w:r>
        <w:rPr>
          <w:rFonts w:ascii="Arial" w:cs="Arial" w:eastAsia="Arial" w:hAnsi="Arial"/>
          <w:sz w:val="18"/>
          <w:szCs w:val="18"/>
          <w:color w:val="auto"/>
        </w:rPr>
        <w:t>Product revenues are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Reserves for Discounts and Allowances</w:t>
      </w:r>
    </w:p>
    <w:p>
      <w:pPr>
        <w:spacing w:after="0" w:line="122" w:lineRule="exact"/>
        <w:rPr>
          <w:sz w:val="20"/>
          <w:szCs w:val="20"/>
          <w:color w:val="auto"/>
        </w:rPr>
      </w:pPr>
    </w:p>
    <w:p>
      <w:pPr>
        <w:ind w:left="380" w:right="60" w:firstLine="445"/>
        <w:spacing w:after="0" w:line="254" w:lineRule="auto"/>
        <w:rPr>
          <w:sz w:val="20"/>
          <w:szCs w:val="20"/>
          <w:color w:val="auto"/>
        </w:rPr>
      </w:pPr>
      <w:r>
        <w:rPr>
          <w:rFonts w:ascii="Arial" w:cs="Arial" w:eastAsia="Arial" w:hAnsi="Arial"/>
          <w:sz w:val="18"/>
          <w:szCs w:val="18"/>
          <w:color w:val="auto"/>
        </w:rPr>
        <w:t>Product revenues are recorded net of reserves established for applicable discounts and allowances that are offered within contracts with our customers, health care providers or payors, including those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80"/>
          </w:cols>
          <w:pgMar w:left="320" w:top="144" w:right="47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associated with the implementation of pricing actions in certain of the international markets in which we operate. Our process for estimating reserves established for these variable consideration components do not differ materially from our historical practices.</w:t>
      </w:r>
    </w:p>
    <w:p>
      <w:pPr>
        <w:spacing w:after="0" w:line="6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Product revenue reserves, which are classified as a reduction in product revenues, are generally characterized in the following categories: discounts, contractual adjustments and returns.</w:t>
      </w:r>
    </w:p>
    <w:p>
      <w:pPr>
        <w:spacing w:after="0" w:line="8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cumulative revenues recognized will not occur in a future period. Actual amounts may ultimately differ from our estimates. If actual results vary, we adjust these estimates, which could have an effect on earnings in the period of adjustment.</w:t>
      </w:r>
    </w:p>
    <w:p>
      <w:pPr>
        <w:spacing w:after="0" w:line="153"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revenues. To the extent we can demonstrate a separable benefit and fair value for these services we classify these payments in selling, general and administrative expenses.</w:t>
      </w:r>
    </w:p>
    <w:p>
      <w:pPr>
        <w:spacing w:after="0" w:line="151" w:lineRule="exact"/>
        <w:rPr>
          <w:sz w:val="20"/>
          <w:szCs w:val="20"/>
          <w:color w:val="auto"/>
        </w:rPr>
      </w:pPr>
    </w:p>
    <w:p>
      <w:pPr>
        <w:ind w:right="340" w:firstLine="445"/>
        <w:spacing w:after="0" w:line="256" w:lineRule="auto"/>
        <w:rPr>
          <w:sz w:val="20"/>
          <w:szCs w:val="20"/>
          <w:color w:val="auto"/>
        </w:rPr>
      </w:pPr>
      <w:r>
        <w:rPr>
          <w:rFonts w:ascii="Arial" w:cs="Arial" w:eastAsia="Arial" w:hAnsi="Arial"/>
          <w:sz w:val="18"/>
          <w:szCs w:val="18"/>
          <w:color w:val="auto"/>
        </w:rPr>
        <w:t xml:space="preserve">For additional information on our revenues, please read </w:t>
      </w:r>
      <w:r>
        <w:rPr>
          <w:rFonts w:ascii="Arial" w:cs="Arial" w:eastAsia="Arial" w:hAnsi="Arial"/>
          <w:sz w:val="18"/>
          <w:szCs w:val="18"/>
          <w:i w:val="1"/>
          <w:iCs w:val="1"/>
          <w:color w:val="auto"/>
        </w:rPr>
        <w:t>Note 4, Revenues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Acquired Intangible Assets, including IPR&amp;D</w:t>
      </w:r>
    </w:p>
    <w:p>
      <w:pPr>
        <w:spacing w:after="0" w:line="12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40"/>
        <w:spacing w:after="0" w:line="254" w:lineRule="auto"/>
        <w:rPr>
          <w:sz w:val="20"/>
          <w:szCs w:val="20"/>
          <w:color w:val="auto"/>
        </w:rPr>
      </w:pPr>
      <w:r>
        <w:rPr>
          <w:rFonts w:ascii="Arial" w:cs="Arial" w:eastAsia="Arial" w:hAnsi="Arial"/>
          <w:sz w:val="18"/>
          <w:szCs w:val="18"/>
          <w:color w:val="auto"/>
        </w:rPr>
        <w:t>business under applicable accounting standards, the acquired IPR&amp;D is expensed on its acquisition date. Future costs to develop these assets are recorded to research and development expense as they are incurred.</w:t>
      </w:r>
    </w:p>
    <w:p>
      <w:pPr>
        <w:spacing w:after="0" w:line="150"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IPR&amp;D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156" w:lineRule="exact"/>
        <w:rPr>
          <w:sz w:val="20"/>
          <w:szCs w:val="20"/>
          <w:color w:val="auto"/>
        </w:rPr>
      </w:pPr>
    </w:p>
    <w:p>
      <w:pPr>
        <w:ind w:left="800" w:right="80" w:hanging="334"/>
        <w:spacing w:after="0" w:line="261" w:lineRule="auto"/>
        <w:tabs>
          <w:tab w:leader="none" w:pos="7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43" w:lineRule="exact"/>
        <w:rPr>
          <w:rFonts w:ascii="Arial" w:cs="Arial" w:eastAsia="Arial" w:hAnsi="Arial"/>
          <w:sz w:val="18"/>
          <w:szCs w:val="18"/>
          <w:color w:val="auto"/>
        </w:rPr>
      </w:pPr>
    </w:p>
    <w:p>
      <w:pPr>
        <w:ind w:left="740" w:hanging="274"/>
        <w:spacing w:after="0"/>
        <w:tabs>
          <w:tab w:leader="none" w:pos="7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71" w:lineRule="exact"/>
        <w:rPr>
          <w:rFonts w:ascii="Arial" w:cs="Arial" w:eastAsia="Arial" w:hAnsi="Arial"/>
          <w:sz w:val="18"/>
          <w:szCs w:val="18"/>
          <w:color w:val="auto"/>
        </w:rPr>
      </w:pPr>
    </w:p>
    <w:p>
      <w:pPr>
        <w:ind w:left="800" w:right="340" w:hanging="334"/>
        <w:spacing w:after="0" w:line="291" w:lineRule="auto"/>
        <w:tabs>
          <w:tab w:leader="none" w:pos="7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estimating future cash flows from product sales resulting from completed products and in process projects; and</w:t>
      </w:r>
    </w:p>
    <w:p>
      <w:pPr>
        <w:spacing w:after="0" w:line="119" w:lineRule="exact"/>
        <w:rPr>
          <w:rFonts w:ascii="Arial" w:cs="Arial" w:eastAsia="Arial" w:hAnsi="Arial"/>
          <w:sz w:val="17"/>
          <w:szCs w:val="17"/>
          <w:color w:val="auto"/>
        </w:rPr>
      </w:pPr>
    </w:p>
    <w:p>
      <w:pPr>
        <w:ind w:left="800" w:right="140" w:hanging="334"/>
        <w:spacing w:after="0" w:line="261" w:lineRule="auto"/>
        <w:tabs>
          <w:tab w:leader="none" w:pos="7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44" w:lineRule="exact"/>
        <w:rPr>
          <w:sz w:val="20"/>
          <w:szCs w:val="20"/>
          <w:color w:val="auto"/>
        </w:rPr>
      </w:pPr>
    </w:p>
    <w:p>
      <w:pPr>
        <w:ind w:left="380" w:right="20" w:firstLine="445"/>
        <w:spacing w:after="0" w:line="254"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150"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If these projects are not successfully developed, the sales and profitability of the company may be adversely affected in future periods. Additionally, the value of the acquired intangible assets may become impaired. No assurance can be given that the underlying assumptions used to estimate expected project sales, development costs or profitability, or the events associated with such projects, will transpire as estimated.</w:t>
      </w:r>
    </w:p>
    <w:p>
      <w:pPr>
        <w:spacing w:after="0" w:line="131" w:lineRule="exact"/>
        <w:rPr>
          <w:sz w:val="20"/>
          <w:szCs w:val="20"/>
          <w:color w:val="auto"/>
        </w:rPr>
      </w:pPr>
    </w:p>
    <w:p>
      <w:pPr>
        <w:ind w:left="380" w:right="300" w:firstLine="202"/>
        <w:spacing w:after="0" w:line="287" w:lineRule="auto"/>
        <w:rPr>
          <w:sz w:val="20"/>
          <w:szCs w:val="20"/>
          <w:color w:val="auto"/>
        </w:rPr>
      </w:pPr>
      <w:r>
        <w:rPr>
          <w:rFonts w:ascii="Arial" w:cs="Arial" w:eastAsia="Arial" w:hAnsi="Arial"/>
          <w:sz w:val="18"/>
          <w:szCs w:val="18"/>
          <w:b w:val="1"/>
          <w:bCs w:val="1"/>
          <w:i w:val="1"/>
          <w:iCs w:val="1"/>
          <w:color w:val="2573BA"/>
        </w:rPr>
        <w:t>Impairment and Amortization of Long-lived Assets and Accounting for Goodwill</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Long-lived Assets Other than Goodwill</w:t>
      </w:r>
    </w:p>
    <w:p>
      <w:pPr>
        <w:spacing w:after="0" w:line="122" w:lineRule="exact"/>
        <w:rPr>
          <w:sz w:val="20"/>
          <w:szCs w:val="20"/>
          <w:color w:val="auto"/>
        </w:rPr>
      </w:pPr>
    </w:p>
    <w:p>
      <w:pPr>
        <w:ind w:left="380" w:right="300" w:firstLine="445"/>
        <w:spacing w:after="0" w:line="270" w:lineRule="auto"/>
        <w:rPr>
          <w:sz w:val="20"/>
          <w:szCs w:val="20"/>
          <w:color w:val="auto"/>
        </w:rPr>
      </w:pPr>
      <w:r>
        <w:rPr>
          <w:rFonts w:ascii="Arial" w:cs="Arial" w:eastAsia="Arial" w:hAnsi="Arial"/>
          <w:sz w:val="17"/>
          <w:szCs w:val="17"/>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with indefinite lives for impairment annually, as of October 31, and whenever events or changes in circumstances indicate that the carrying value of an asset may not be recoverable.</w:t>
      </w:r>
    </w:p>
    <w:p>
      <w:pPr>
        <w:spacing w:after="0" w:line="6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 xml:space="preserve">When performing our impairment assessment, we calculate the fair value using the same methodology as described above under </w:t>
      </w:r>
      <w:r>
        <w:rPr>
          <w:rFonts w:ascii="Arial" w:cs="Arial" w:eastAsia="Arial" w:hAnsi="Arial"/>
          <w:sz w:val="18"/>
          <w:szCs w:val="18"/>
          <w:i w:val="1"/>
          <w:iCs w:val="1"/>
          <w:color w:val="auto"/>
        </w:rPr>
        <w:t>Acquired Intangible Assets, including IPR&amp;D</w:t>
      </w:r>
      <w:r>
        <w:rPr>
          <w:rFonts w:ascii="Arial" w:cs="Arial" w:eastAsia="Arial" w:hAnsi="Arial"/>
          <w:sz w:val="18"/>
          <w:szCs w:val="18"/>
          <w:color w:val="auto"/>
        </w:rPr>
        <w:t>. If the carrying value of our acquired IPR&amp;D exceeds its fair value, then the intangible asset is written down to its fair value. Changes in the estimates and assumptions used in determining the fair value of our acquired IPR&amp;D could result in an impairment. Impairments are recorded within amortization and impairment of acquired intangible assets in our consolidated statements of income. Assets that have previously been impaired, including our vixotrigine program for the potential treatment of neuropathic pain, such as TGN, could become further impaired in the future.</w:t>
      </w:r>
    </w:p>
    <w:p>
      <w:pPr>
        <w:spacing w:after="0" w:line="156"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most significant intangible assets are our acquired and in-licensed rights and patents. Acquired and in-licensed rights and patents primarily relate to our acquisition of all remaining rights to TYSABRI from Elan. We amortize the intangible assets related to our TYSABRI, AVONEX, SPINRAZA, VUMERITY and TECFIDERA (rest of world) products using the economic consumption method based on revenues generated from the products underlying the related intangible assets. An analysis of the anticipated lifetime revenues of TYSABRI, AVONEX, SPINRAZA, VUMERITY and TECFIDERA (rest of world) is performed annually during our long-range planning cycle and whenever events or changes in circumstances would significantly affect the anticipated lifetime revenues of our TYSABRI, AVONEX, SPINRAZA, VUMERITY or TECFIDERA (rest of world) products.</w:t>
      </w:r>
    </w:p>
    <w:p>
      <w:pPr>
        <w:spacing w:after="0" w:line="155" w:lineRule="exact"/>
        <w:rPr>
          <w:sz w:val="20"/>
          <w:szCs w:val="20"/>
          <w:color w:val="auto"/>
        </w:rPr>
      </w:pPr>
    </w:p>
    <w:p>
      <w:pPr>
        <w:ind w:right="420" w:firstLine="445"/>
        <w:spacing w:after="0" w:line="273" w:lineRule="auto"/>
        <w:rPr>
          <w:sz w:val="20"/>
          <w:szCs w:val="20"/>
          <w:color w:val="auto"/>
        </w:rPr>
      </w:pPr>
      <w:r>
        <w:rPr>
          <w:rFonts w:ascii="Arial" w:cs="Arial" w:eastAsia="Arial" w:hAnsi="Arial"/>
          <w:sz w:val="17"/>
          <w:szCs w:val="17"/>
          <w:color w:val="auto"/>
        </w:rPr>
        <w:t xml:space="preserve">For additional information on the impairment charges related to our long-lived assets during 2020, 2019 and 2018, please read </w:t>
      </w:r>
      <w:r>
        <w:rPr>
          <w:rFonts w:ascii="Arial" w:cs="Arial" w:eastAsia="Arial" w:hAnsi="Arial"/>
          <w:sz w:val="17"/>
          <w:szCs w:val="17"/>
          <w:i w:val="1"/>
          <w:iCs w:val="1"/>
          <w:color w:val="auto"/>
        </w:rPr>
        <w:t>Note 6, Intangible Assets and Goodwill,</w:t>
      </w:r>
      <w:r>
        <w:rPr>
          <w:rFonts w:ascii="Arial" w:cs="Arial" w:eastAsia="Arial" w:hAnsi="Arial"/>
          <w:sz w:val="17"/>
          <w:szCs w:val="17"/>
          <w:color w:val="auto"/>
        </w:rPr>
        <w:t xml:space="preserve"> to our consolidated financial statements included in this report.</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Goodwill</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Goodwill relates largely to amounts that arose in connection with the merger of Biogen, Inc. and IDEC Pharmaceuticals Corporation in 2003 and amounts that were paid in connection with the acquisition of Fumapharm AG. Our goodwill balances represent the difference between the purchase price and the fair value of the identifiable tangible and intangible net assets when accounted for using the purchase method of accounting.</w:t>
      </w:r>
    </w:p>
    <w:p>
      <w:pPr>
        <w:spacing w:after="0" w:line="153"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assess our goodwill balance within our single reporting unit annually, as of October 31, and whenever events or changes in circumstances indicate the carrying value of goodwill may not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0" w:right="100"/>
        <w:spacing w:after="0" w:line="252" w:lineRule="auto"/>
        <w:rPr>
          <w:sz w:val="20"/>
          <w:szCs w:val="20"/>
          <w:color w:val="auto"/>
        </w:rPr>
      </w:pPr>
      <w:r>
        <w:rPr>
          <w:rFonts w:ascii="Arial" w:cs="Arial" w:eastAsia="Arial" w:hAnsi="Arial"/>
          <w:sz w:val="18"/>
          <w:szCs w:val="18"/>
          <w:color w:val="auto"/>
        </w:rPr>
        <w:t>recoverable to determine whether any impairment in this asset may exist and, if so, the extent of such impairment. We compare the fair value of our reporting unit to its carrying value. If the carrying value of the net assets assigned to the reporting unit exceeds the fair value of our reporting unit, we would record an impairment loss equal to the difference.</w:t>
      </w:r>
    </w:p>
    <w:p>
      <w:pPr>
        <w:spacing w:after="0" w:line="154" w:lineRule="exact"/>
        <w:rPr>
          <w:sz w:val="20"/>
          <w:szCs w:val="20"/>
          <w:color w:val="auto"/>
        </w:rPr>
      </w:pPr>
    </w:p>
    <w:p>
      <w:pPr>
        <w:ind w:left="380" w:right="140" w:firstLine="445"/>
        <w:spacing w:after="0" w:line="252" w:lineRule="auto"/>
        <w:rPr>
          <w:sz w:val="20"/>
          <w:szCs w:val="20"/>
          <w:color w:val="auto"/>
        </w:rPr>
      </w:pPr>
      <w:r>
        <w:rPr>
          <w:rFonts w:ascii="Arial" w:cs="Arial" w:eastAsia="Arial" w:hAnsi="Arial"/>
          <w:sz w:val="18"/>
          <w:szCs w:val="18"/>
          <w:color w:val="auto"/>
        </w:rPr>
        <w:t>We completed our required annual impairment test in the fourth quarters of 2020, 2019 and 2018 and determined in each of those periods that the carrying value of goodwill was not impaired. In each year, the fair value of our reporting unit, which includes goodwill, was significantly in excess of the carrying value of our reporting unit.</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Contingent Consideration</w:t>
      </w:r>
    </w:p>
    <w:p>
      <w:pPr>
        <w:spacing w:after="0" w:line="126"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Each reporting period thereafter, we revalue the remaining obligations and record increases or decreases in their fair value as an adjustment to contingent consideration expense in our consolidated statements of income. Changes in the fair value of our contingent consideration obligations can result from changes to one or multiple inputs, including adjustments to the discount rates and achievement and timing of any cumulative sales-based and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55"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Income Taxes</w:t>
      </w:r>
    </w:p>
    <w:p>
      <w:pPr>
        <w:spacing w:after="0" w:line="112"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Upon our election in the fourth quarter of 2018 to record deferred taxes for global intangible low-taxed income (GILTI), we have included amounts related to GILTI taxes within temporary difference. Significant management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In the event that actual results differ from our estimates, we adjust our estimates in future periods and we may need to establish a valuation allowance, which could materially impact our consolidated financial position and results of operations.</w:t>
      </w:r>
    </w:p>
    <w:p>
      <w:pPr>
        <w:spacing w:after="0" w:line="142" w:lineRule="exact"/>
        <w:rPr>
          <w:sz w:val="20"/>
          <w:szCs w:val="20"/>
          <w:color w:val="auto"/>
        </w:rPr>
      </w:pPr>
    </w:p>
    <w:p>
      <w:pPr>
        <w:ind w:right="20" w:firstLine="445"/>
        <w:spacing w:after="0" w:line="250"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 likely than 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234" w:lineRule="exact"/>
        <w:rPr>
          <w:sz w:val="20"/>
          <w:szCs w:val="20"/>
          <w:color w:val="auto"/>
        </w:rPr>
      </w:pPr>
    </w:p>
    <w:p>
      <w:pPr>
        <w:ind w:right="1040"/>
        <w:spacing w:after="0" w:line="274" w:lineRule="auto"/>
        <w:rPr>
          <w:sz w:val="20"/>
          <w:szCs w:val="20"/>
          <w:color w:val="auto"/>
        </w:rPr>
      </w:pPr>
      <w:r>
        <w:rPr>
          <w:rFonts w:ascii="Arial" w:cs="Arial" w:eastAsia="Arial" w:hAnsi="Arial"/>
          <w:sz w:val="22"/>
          <w:szCs w:val="22"/>
          <w:b w:val="1"/>
          <w:bCs w:val="1"/>
          <w:color w:val="1C5A7D"/>
        </w:rPr>
        <w:t>Item 7A. Quantitative and Qualitative Disclosures About Market Risk</w:t>
      </w:r>
    </w:p>
    <w:p>
      <w:pPr>
        <w:spacing w:after="0" w:line="48"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are subject to certain risks that may affect our results of operations, cash flows and fair values of assets and liabilities, including volatility in foreign currency exchange rates, interest rate movements and pricing pressures worldwide as well as changes in economic conditions in the markets in which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40"/>
        <w:spacing w:after="0" w:line="251" w:lineRule="auto"/>
        <w:rPr>
          <w:sz w:val="20"/>
          <w:szCs w:val="20"/>
          <w:color w:val="auto"/>
        </w:rPr>
      </w:pPr>
      <w:r>
        <w:rPr>
          <w:rFonts w:ascii="Arial" w:cs="Arial" w:eastAsia="Arial" w:hAnsi="Arial"/>
          <w:sz w:val="18"/>
          <w:szCs w:val="18"/>
          <w:color w:val="auto"/>
        </w:rPr>
        <w:t>operate as a result of the COVID-19 pandemic.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Foreign Currency Exchange Risk</w:t>
      </w:r>
    </w:p>
    <w:p>
      <w:pPr>
        <w:spacing w:after="0" w:line="112"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flows can be affected by market fluctuations in foreign currency exchange rates, primarily with respect to the Euro, British pound sterling, Canadian dollar, Swiss franc, Japanese yen and South Korean won.</w:t>
      </w:r>
    </w:p>
    <w:p>
      <w:pPr>
        <w:spacing w:after="0" w:line="153" w:lineRule="exact"/>
        <w:rPr>
          <w:sz w:val="20"/>
          <w:szCs w:val="20"/>
          <w:color w:val="auto"/>
        </w:rPr>
      </w:pPr>
    </w:p>
    <w:p>
      <w:pPr>
        <w:ind w:left="380" w:firstLine="445"/>
        <w:spacing w:after="0" w:line="267" w:lineRule="auto"/>
        <w:rPr>
          <w:sz w:val="20"/>
          <w:szCs w:val="20"/>
          <w:color w:val="auto"/>
        </w:rPr>
      </w:pPr>
      <w:r>
        <w:rPr>
          <w:rFonts w:ascii="Arial" w:cs="Arial" w:eastAsia="Arial" w:hAnsi="Arial"/>
          <w:sz w:val="17"/>
          <w:szCs w:val="17"/>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revenues will decline when reported in U.S. dollars. The impact to net income as a result of a strengthening U.S. dollar will be partially mitigated by the value of non-U.S. expenses, which will also decline when reported in U.S. dollars. As the U.S. dollar weakens versus other currencies, the value of the non-U.S. revenues and expenses will increase when reported in U.S. dollars.</w:t>
      </w:r>
    </w:p>
    <w:p>
      <w:pPr>
        <w:spacing w:after="0" w:line="143" w:lineRule="exact"/>
        <w:rPr>
          <w:sz w:val="20"/>
          <w:szCs w:val="20"/>
          <w:color w:val="auto"/>
        </w:rPr>
      </w:pPr>
    </w:p>
    <w:p>
      <w:pPr>
        <w:ind w:left="380" w:right="20" w:firstLine="445"/>
        <w:spacing w:after="0" w:line="253"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flows and changes in fair value caused by volatility in foreign currency exchange rates.</w:t>
      </w:r>
    </w:p>
    <w:p>
      <w:pPr>
        <w:spacing w:after="0" w:line="151"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December 31, 2020, and is not expected to have a material impact on our results of operations or financial position in the future.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Revenue and Operating Expense Hedging Program</w:t>
      </w:r>
    </w:p>
    <w:p>
      <w:pPr>
        <w:spacing w:after="0" w:line="122"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 xml:space="preserve">Our foreign currency hedging program is designed to mitigate, over time, a portion of the impact resulting from volatility in exchange rate changes on revenues and operating expenses. We use foreign currency forward contracts to manage foreign currency risk, with the majority of our forward contracts used to hedge certain forecasted revenue and operating expense transactions denominated in foreign currencies in the next 24 months. We do not engage in currency speculation. For a more detailed disclosure of our revenue and operating expense hedging program, please read </w:t>
      </w:r>
      <w:r>
        <w:rPr>
          <w:rFonts w:ascii="Arial" w:cs="Arial" w:eastAsia="Arial" w:hAnsi="Arial"/>
          <w:sz w:val="17"/>
          <w:szCs w:val="17"/>
          <w:i w:val="1"/>
          <w:iCs w:val="1"/>
          <w:color w:val="auto"/>
        </w:rPr>
        <w:t>Note 9, Derivative Instruments,</w:t>
      </w:r>
      <w:r>
        <w:rPr>
          <w:rFonts w:ascii="Arial" w:cs="Arial" w:eastAsia="Arial" w:hAnsi="Arial"/>
          <w:sz w:val="17"/>
          <w:szCs w:val="17"/>
          <w:color w:val="auto"/>
        </w:rPr>
        <w:t xml:space="preserve"> to our consolidated financial statements included in this report.</w:t>
      </w:r>
    </w:p>
    <w:p>
      <w:pPr>
        <w:spacing w:after="0" w:line="146"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Our ability to mitigate the impact of foreign currency exchange rate changes on revenues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flows from these contracts are reported as operating activities in our consolidated statements of cash flows.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Balance Sheet Risk Management Hedging Program</w:t>
      </w:r>
    </w:p>
    <w:p>
      <w:pPr>
        <w:spacing w:after="0" w:line="108"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flows from these contracts are reported as operating activities in our consolidated statements of cash flows.</w:t>
      </w:r>
    </w:p>
    <w:p>
      <w:pPr>
        <w:spacing w:after="0" w:line="15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December 31, 2020 and 2019, a hypothetical adverse 10.0% movement in foreign currency exchange rates compared to the U.S. dollar across all maturities would result in a hypothetical decrease in the fair value of forward contracts of approximately $458.2 million and $265.0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Net Investment Hedge Program</w:t>
      </w:r>
    </w:p>
    <w:p>
      <w:pPr>
        <w:spacing w:after="0" w:line="122"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Our net investment hedging program is designed to mitigate currency fluctuations between the U.S. dollar and the South Korean won as a result of our approximately 49.9% ownership interest in Samsung Bioepis. We entered into foreign currency forward contracts to manage the foreign currency risk with our forward contracts used to hedge changes in the spot rate over the next 10 months. As of December 31, 2020 and 2019, a hypothetical adverse 10.0% movement would result in a hypothetical decrease in fair value of approximately $56.9 million and $43.0 million, respectively. The estimated fair value was determined by measuring the impact of the hypothetical spot rate movement on outstanding forward contracts.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Interest Rate Risk</w:t>
      </w:r>
    </w:p>
    <w:p>
      <w:pPr>
        <w:spacing w:after="0" w:line="112" w:lineRule="exact"/>
        <w:rPr>
          <w:sz w:val="20"/>
          <w:szCs w:val="20"/>
          <w:color w:val="auto"/>
        </w:rPr>
      </w:pPr>
    </w:p>
    <w:p>
      <w:pPr>
        <w:ind w:left="380" w:right="20" w:firstLine="445"/>
        <w:spacing w:after="0" w:line="250" w:lineRule="auto"/>
        <w:rPr>
          <w:sz w:val="20"/>
          <w:szCs w:val="20"/>
          <w:color w:val="auto"/>
        </w:rPr>
      </w:pPr>
      <w:r>
        <w:rPr>
          <w:rFonts w:ascii="Arial" w:cs="Arial" w:eastAsia="Arial" w:hAnsi="Arial"/>
          <w:sz w:val="18"/>
          <w:szCs w:val="18"/>
          <w:color w:val="auto"/>
        </w:rPr>
        <w:t>Our investment portfolio includes cash equivalents and short-term investments. The fair value of our marketable securities is subject to change as a result of potential changes in market interest rates, including changes resulting from the impact of the COVID-19 pandemic. The potential change in fair value for interest rate sensitive instruments has been assessed on a hypothetical 100 basis point adverse movement across all maturities. As of December 31, 2020 and 2019, we estimate that such hypothetical 100 basis point adverse movement would result in a hypothetical loss in fair value of approximately</w:t>
      </w:r>
    </w:p>
    <w:p>
      <w:pPr>
        <w:spacing w:after="0" w:line="4" w:lineRule="exact"/>
        <w:rPr>
          <w:sz w:val="20"/>
          <w:szCs w:val="20"/>
          <w:color w:val="auto"/>
        </w:rPr>
      </w:pPr>
    </w:p>
    <w:p>
      <w:pPr>
        <w:ind w:left="380" w:right="200"/>
        <w:spacing w:after="0" w:line="254" w:lineRule="auto"/>
        <w:rPr>
          <w:sz w:val="20"/>
          <w:szCs w:val="20"/>
          <w:color w:val="auto"/>
        </w:rPr>
      </w:pPr>
      <w:r>
        <w:rPr>
          <w:rFonts w:ascii="Arial" w:cs="Arial" w:eastAsia="Arial" w:hAnsi="Arial"/>
          <w:sz w:val="18"/>
          <w:szCs w:val="18"/>
          <w:color w:val="auto"/>
        </w:rPr>
        <w:t>$13.2 million and $21.0 million, respectively, to our interest rate sensitive instruments. The fair values of our investments were determined using third-party pricing services or other market observable data.</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Pricing Pressure</w:t>
      </w:r>
    </w:p>
    <w:p>
      <w:pPr>
        <w:spacing w:after="0" w:line="126"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Governments in certain international markets in which we operate have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In addition, certain countries set prices by reference to the prices in other countries where our products are marketed. Our inability to obtain and maintain adequate prices in a particular country may not only limit the revenues from our products within that country but may also adversely affect our ability to secure acceptable prices in existing and potential new markets, which may limit market growth. The continued implementation of pricing actions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throughout Europe may also lead to higher levels of parallel trade.</w:t>
      </w:r>
    </w:p>
    <w:p>
      <w:pPr>
        <w:spacing w:after="0" w:line="14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way our products are prescribed and purchased. It is possible that additional federal health care reform measures will be adopted in the future, which could result in increased pricing pressure and reduced reimbursement for our products and otherwise have an adverse impact on our consolidated financial position or results of operations. There is also significant economic pressure on state budgets that may result in states increasingly seeking to achieve budget savings through mechanisms that limit coverage or payment for our drugs. Managed care organizations are also continuing to seek price discounts and, in some cases, impose restrictions on the coverage of certain drugs.</w:t>
      </w:r>
    </w:p>
    <w:p>
      <w:pPr>
        <w:spacing w:after="0" w:line="154"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auto"/>
        </w:rPr>
        <w:t>Our products continue to face increasing competition in many markets from new originator therapies, generics, prodrugs and biosimilars of existing products and products approved under abbreviated regulatory pathways. Such products are likely to be sold at substantially lower prices than branded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products. Accordingly, the introduction of such products, as well as other lower-priced competing products, may significantly reduce both the price that we are able to charge for our products and the volume of products we sell, which will negatively impact our revenues. In addition, in some markets, when a generic or biosimilar version of one of our products is commercialized, it may be automatically substituted for our product and significantly reduce our revenues in a short period of time.</w:t>
      </w:r>
    </w:p>
    <w:p>
      <w:pPr>
        <w:spacing w:after="0" w:line="9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significantly reduced our TECFIDERA revenues during the year ended December 31, 2020, and is expected to have a substantial negative impact on our TECFIDERA revenues for as long as there is generic competition.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Credit Risk</w:t>
      </w:r>
    </w:p>
    <w:p>
      <w:pPr>
        <w:spacing w:after="0" w:line="9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 markets using our products as well as their dispersion across many different geographic areas. Our accounts receivable are primarily due from wholesale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third-party distributors, public hospitals, pharmacies and other government entities. We monitor the financial performance and creditworthiness of our customers so that we can properly assess and respond to changes in their credit profile. We operate in certain countries where weakness in economic conditions, including as a result of the COVID-19 pandemic,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156"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We believe that our allowance for doubtful accounts was adequate as of December 31, 2020 and 2019.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216"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22"/>
          <w:szCs w:val="22"/>
          <w:b w:val="1"/>
          <w:bCs w:val="1"/>
          <w:color w:val="1C5A7D"/>
        </w:rPr>
        <w:t>Item 8.</w:t>
      </w:r>
      <w:r>
        <w:rPr>
          <w:sz w:val="20"/>
          <w:szCs w:val="20"/>
          <w:color w:val="auto"/>
        </w:rPr>
        <w:tab/>
      </w:r>
      <w:r>
        <w:rPr>
          <w:rFonts w:ascii="Arial" w:cs="Arial" w:eastAsia="Arial" w:hAnsi="Arial"/>
          <w:sz w:val="21"/>
          <w:szCs w:val="21"/>
          <w:b w:val="1"/>
          <w:bCs w:val="1"/>
          <w:color w:val="1C5A7D"/>
        </w:rPr>
        <w:t>Financial Statements and</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1C5A7D"/>
        </w:rPr>
        <w:t>Supplementary Data</w:t>
      </w:r>
    </w:p>
    <w:p>
      <w:pPr>
        <w:spacing w:after="0" w:line="90" w:lineRule="exact"/>
        <w:rPr>
          <w:sz w:val="20"/>
          <w:szCs w:val="20"/>
          <w:color w:val="auto"/>
        </w:rPr>
      </w:pPr>
    </w:p>
    <w:p>
      <w:pPr>
        <w:ind w:left="380" w:right="140" w:firstLine="445"/>
        <w:spacing w:after="0" w:line="256" w:lineRule="auto"/>
        <w:rPr>
          <w:sz w:val="20"/>
          <w:szCs w:val="20"/>
          <w:color w:val="auto"/>
        </w:rPr>
      </w:pPr>
      <w:r>
        <w:rPr>
          <w:rFonts w:ascii="Arial" w:cs="Arial" w:eastAsia="Arial" w:hAnsi="Arial"/>
          <w:sz w:val="18"/>
          <w:szCs w:val="18"/>
          <w:color w:val="auto"/>
        </w:rPr>
        <w:t>The information required by this Item 8 is contained on pages F-1 through F-80 of this report and is incorporated herein by reference.</w:t>
      </w:r>
    </w:p>
    <w:p>
      <w:pPr>
        <w:spacing w:after="0" w:line="224" w:lineRule="exact"/>
        <w:rPr>
          <w:sz w:val="20"/>
          <w:szCs w:val="20"/>
          <w:color w:val="auto"/>
        </w:rPr>
      </w:pPr>
    </w:p>
    <w:p>
      <w:pPr>
        <w:ind w:left="380" w:right="340"/>
        <w:spacing w:after="0" w:line="258" w:lineRule="auto"/>
        <w:rPr>
          <w:sz w:val="20"/>
          <w:szCs w:val="20"/>
          <w:color w:val="auto"/>
        </w:rPr>
      </w:pPr>
      <w:r>
        <w:rPr>
          <w:rFonts w:ascii="Arial" w:cs="Arial" w:eastAsia="Arial" w:hAnsi="Arial"/>
          <w:sz w:val="22"/>
          <w:szCs w:val="22"/>
          <w:b w:val="1"/>
          <w:bCs w:val="1"/>
          <w:color w:val="1C5A7D"/>
        </w:rPr>
        <w:t>Item 9. Changes in and Disagreements with Accountants on Accounting and Financial Disclosure</w:t>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ind w:left="380"/>
        <w:spacing w:after="0"/>
        <w:tabs>
          <w:tab w:leader="none" w:pos="1680" w:val="left"/>
        </w:tabs>
        <w:rPr>
          <w:sz w:val="20"/>
          <w:szCs w:val="20"/>
          <w:color w:val="auto"/>
        </w:rPr>
      </w:pPr>
      <w:r>
        <w:rPr>
          <w:rFonts w:ascii="Arial" w:cs="Arial" w:eastAsia="Arial" w:hAnsi="Arial"/>
          <w:sz w:val="22"/>
          <w:szCs w:val="22"/>
          <w:b w:val="1"/>
          <w:bCs w:val="1"/>
          <w:color w:val="1C5A7D"/>
        </w:rPr>
        <w:t>Item 9A.</w:t>
      </w:r>
      <w:r>
        <w:rPr>
          <w:sz w:val="20"/>
          <w:szCs w:val="20"/>
          <w:color w:val="auto"/>
        </w:rPr>
        <w:tab/>
      </w:r>
      <w:r>
        <w:rPr>
          <w:rFonts w:ascii="Arial" w:cs="Arial" w:eastAsia="Arial" w:hAnsi="Arial"/>
          <w:sz w:val="21"/>
          <w:szCs w:val="21"/>
          <w:b w:val="1"/>
          <w:bCs w:val="1"/>
          <w:color w:val="1C5A7D"/>
        </w:rPr>
        <w:t>Controls and Procedures</w:t>
      </w:r>
    </w:p>
    <w:p>
      <w:pPr>
        <w:spacing w:after="0" w:line="260" w:lineRule="exact"/>
        <w:rPr>
          <w:sz w:val="20"/>
          <w:szCs w:val="20"/>
          <w:color w:val="auto"/>
        </w:rPr>
      </w:pPr>
    </w:p>
    <w:p>
      <w:pPr>
        <w:ind w:left="380" w:right="180"/>
        <w:spacing w:after="0" w:line="274" w:lineRule="auto"/>
        <w:rPr>
          <w:sz w:val="20"/>
          <w:szCs w:val="20"/>
          <w:color w:val="auto"/>
        </w:rPr>
      </w:pPr>
      <w:r>
        <w:rPr>
          <w:rFonts w:ascii="Arial" w:cs="Arial" w:eastAsia="Arial" w:hAnsi="Arial"/>
          <w:sz w:val="22"/>
          <w:szCs w:val="22"/>
          <w:b w:val="1"/>
          <w:bCs w:val="1"/>
          <w:color w:val="578196"/>
        </w:rPr>
        <w:t>Disclosure Controls and Procedures and Internal Control over Financial Reporting</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Controls and Procedures</w:t>
      </w:r>
    </w:p>
    <w:p>
      <w:pPr>
        <w:spacing w:after="0" w:line="112" w:lineRule="exact"/>
        <w:rPr>
          <w:sz w:val="20"/>
          <w:szCs w:val="20"/>
          <w:color w:val="auto"/>
        </w:rPr>
      </w:pPr>
    </w:p>
    <w:p>
      <w:pPr>
        <w:ind w:left="380" w:right="20" w:firstLine="445"/>
        <w:spacing w:after="0" w:line="268"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2020. Based upon that evaluation, our principal executive officer and principal financial officer concluded that, as of the end of the period covered by this report, our disclosure controls and procedures are effective in ensuring that: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60" w:hanging="247"/>
        <w:spacing w:after="0" w:line="252"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72" w:lineRule="exact"/>
        <w:rPr>
          <w:rFonts w:ascii="Arial" w:cs="Arial" w:eastAsia="Arial" w:hAnsi="Arial"/>
          <w:sz w:val="18"/>
          <w:szCs w:val="18"/>
          <w:color w:val="auto"/>
        </w:rPr>
      </w:pPr>
    </w:p>
    <w:p>
      <w:pPr>
        <w:ind w:left="660" w:right="20" w:hanging="247"/>
        <w:spacing w:after="0" w:line="254"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82"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Changes in Internal Control over Financial Reporting</w:t>
      </w:r>
    </w:p>
    <w:p>
      <w:pPr>
        <w:spacing w:after="0" w:line="12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2020, that have materially affected, or are reasonably likely to materially affect, our internal control over financial reporting.</w:t>
      </w:r>
    </w:p>
    <w:p>
      <w:pPr>
        <w:spacing w:after="0" w:line="128" w:lineRule="exact"/>
        <w:rPr>
          <w:sz w:val="20"/>
          <w:szCs w:val="20"/>
          <w:color w:val="auto"/>
        </w:rPr>
      </w:pPr>
    </w:p>
    <w:p>
      <w:pPr>
        <w:ind w:right="380" w:firstLine="202"/>
        <w:spacing w:after="0" w:line="287" w:lineRule="auto"/>
        <w:rPr>
          <w:sz w:val="20"/>
          <w:szCs w:val="20"/>
          <w:color w:val="auto"/>
        </w:rPr>
      </w:pPr>
      <w:r>
        <w:rPr>
          <w:rFonts w:ascii="Arial" w:cs="Arial" w:eastAsia="Arial" w:hAnsi="Arial"/>
          <w:sz w:val="18"/>
          <w:szCs w:val="18"/>
          <w:b w:val="1"/>
          <w:bCs w:val="1"/>
          <w:i w:val="1"/>
          <w:iCs w:val="1"/>
          <w:color w:val="2573BA"/>
        </w:rPr>
        <w:t>Management’s Annual Report on Internal Control over Financial Reporting</w:t>
      </w:r>
    </w:p>
    <w:p>
      <w:pPr>
        <w:spacing w:after="0" w:line="40"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56" w:lineRule="exact"/>
        <w:rPr>
          <w:sz w:val="20"/>
          <w:szCs w:val="20"/>
          <w:color w:val="auto"/>
        </w:rPr>
      </w:pPr>
    </w:p>
    <w:p>
      <w:pPr>
        <w:ind w:left="420" w:right="340" w:hanging="331"/>
        <w:spacing w:after="0" w:line="256" w:lineRule="auto"/>
        <w:tabs>
          <w:tab w:leader="none" w:pos="3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47" w:lineRule="exact"/>
        <w:rPr>
          <w:rFonts w:ascii="Arial" w:cs="Arial" w:eastAsia="Arial" w:hAnsi="Arial"/>
          <w:sz w:val="18"/>
          <w:szCs w:val="18"/>
          <w:color w:val="auto"/>
        </w:rPr>
      </w:pPr>
    </w:p>
    <w:p>
      <w:pPr>
        <w:ind w:left="420" w:hanging="331"/>
        <w:spacing w:after="0" w:line="271" w:lineRule="auto"/>
        <w:tabs>
          <w:tab w:leader="none" w:pos="375"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0" w:hanging="334"/>
        <w:spacing w:after="0" w:line="254" w:lineRule="auto"/>
        <w:tabs>
          <w:tab w:leader="none" w:pos="7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50" w:lineRule="exact"/>
        <w:rPr>
          <w:sz w:val="20"/>
          <w:szCs w:val="20"/>
          <w:color w:val="auto"/>
        </w:rPr>
      </w:pPr>
    </w:p>
    <w:p>
      <w:pPr>
        <w:ind w:left="380" w:right="240" w:firstLine="44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2020. In making this assessment, management used the criteria set forth by the Committee of Sponsoring Organizations of the Treadway Commission (COSO) in its 2013 Internal Control — Integrated Framework.</w:t>
      </w:r>
    </w:p>
    <w:p>
      <w:pPr>
        <w:spacing w:after="0" w:line="154" w:lineRule="exact"/>
        <w:rPr>
          <w:sz w:val="20"/>
          <w:szCs w:val="20"/>
          <w:color w:val="auto"/>
        </w:rPr>
      </w:pPr>
    </w:p>
    <w:p>
      <w:pPr>
        <w:jc w:val="both"/>
        <w:ind w:left="380" w:firstLine="445"/>
        <w:spacing w:after="0" w:line="256" w:lineRule="auto"/>
        <w:rPr>
          <w:sz w:val="20"/>
          <w:szCs w:val="20"/>
          <w:color w:val="auto"/>
        </w:rPr>
      </w:pPr>
      <w:r>
        <w:rPr>
          <w:rFonts w:ascii="Arial" w:cs="Arial" w:eastAsia="Arial" w:hAnsi="Arial"/>
          <w:sz w:val="18"/>
          <w:szCs w:val="18"/>
          <w:color w:val="auto"/>
        </w:rPr>
        <w:t>Based on our assessment, our management has concluded that, as of December 31, 2020, our internal control over financial reporting is effective based on those criteria.</w:t>
      </w:r>
    </w:p>
    <w:p>
      <w:pPr>
        <w:spacing w:after="0" w:line="148" w:lineRule="exact"/>
        <w:rPr>
          <w:sz w:val="20"/>
          <w:szCs w:val="20"/>
          <w:color w:val="auto"/>
        </w:rPr>
      </w:pPr>
    </w:p>
    <w:p>
      <w:pPr>
        <w:ind w:left="380" w:right="120" w:firstLine="445"/>
        <w:spacing w:after="0" w:line="253"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PricewaterhouseCoopers LLP, an independent registered public accounting firm, as stated in their attestation report, which is included herein.</w:t>
      </w:r>
    </w:p>
    <w:p>
      <w:pPr>
        <w:spacing w:after="0" w:line="227" w:lineRule="exact"/>
        <w:rPr>
          <w:sz w:val="20"/>
          <w:szCs w:val="20"/>
          <w:color w:val="auto"/>
        </w:rPr>
      </w:pPr>
    </w:p>
    <w:p>
      <w:pPr>
        <w:ind w:left="380"/>
        <w:spacing w:after="0"/>
        <w:tabs>
          <w:tab w:leader="none" w:pos="1680" w:val="left"/>
        </w:tabs>
        <w:rPr>
          <w:sz w:val="20"/>
          <w:szCs w:val="20"/>
          <w:color w:val="auto"/>
        </w:rPr>
      </w:pPr>
      <w:r>
        <w:rPr>
          <w:rFonts w:ascii="Arial" w:cs="Arial" w:eastAsia="Arial" w:hAnsi="Arial"/>
          <w:sz w:val="22"/>
          <w:szCs w:val="22"/>
          <w:b w:val="1"/>
          <w:bCs w:val="1"/>
          <w:color w:val="1C5A7D"/>
        </w:rPr>
        <w:t>Item 9B.</w:t>
      </w:r>
      <w:r>
        <w:rPr>
          <w:sz w:val="20"/>
          <w:szCs w:val="20"/>
          <w:color w:val="auto"/>
        </w:rPr>
        <w:tab/>
      </w:r>
      <w:r>
        <w:rPr>
          <w:rFonts w:ascii="Arial" w:cs="Arial" w:eastAsia="Arial" w:hAnsi="Arial"/>
          <w:sz w:val="21"/>
          <w:szCs w:val="21"/>
          <w:b w:val="1"/>
          <w:bCs w:val="1"/>
          <w:color w:val="1C5A7D"/>
        </w:rPr>
        <w:t>Other Information</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300"/>
            <w:col w:w="5580"/>
          </w:cols>
          <w:pgMar w:left="320" w:top="144" w:right="47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1C5A7D"/>
        </w:rPr>
        <w:t>PART III</w:t>
      </w:r>
    </w:p>
    <w:p>
      <w:pPr>
        <w:sectPr>
          <w:pgSz w:w="11900" w:h="16838" w:orient="portrait"/>
          <w:cols w:equalWidth="0" w:num="1">
            <w:col w:w="11100"/>
          </w:cols>
          <w:pgMar w:left="320" w:top="144" w:right="479" w:bottom="1440" w:gutter="0" w:footer="0" w:header="0"/>
        </w:sectPr>
      </w:pPr>
    </w:p>
    <w:p>
      <w:pPr>
        <w:spacing w:after="0" w:line="272" w:lineRule="exact"/>
        <w:rPr>
          <w:sz w:val="20"/>
          <w:szCs w:val="20"/>
          <w:color w:val="auto"/>
        </w:rPr>
      </w:pPr>
    </w:p>
    <w:p>
      <w:pPr>
        <w:ind w:right="480"/>
        <w:spacing w:after="0" w:line="274" w:lineRule="auto"/>
        <w:rPr>
          <w:sz w:val="20"/>
          <w:szCs w:val="20"/>
          <w:color w:val="auto"/>
        </w:rPr>
      </w:pPr>
      <w:r>
        <w:rPr>
          <w:rFonts w:ascii="Arial" w:cs="Arial" w:eastAsia="Arial" w:hAnsi="Arial"/>
          <w:sz w:val="22"/>
          <w:szCs w:val="22"/>
          <w:b w:val="1"/>
          <w:bCs w:val="1"/>
          <w:color w:val="1C5A7D"/>
        </w:rPr>
        <w:t>Item 10. Directors, Executive Officers and Corporate Governance</w:t>
      </w:r>
    </w:p>
    <w:p>
      <w:pPr>
        <w:spacing w:after="0" w:line="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The information concerning our executive officers is set forth under the heading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Item 1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www.biogen.com, under the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 subsection of the “</w:t>
      </w:r>
      <w:r>
        <w:rPr>
          <w:rFonts w:ascii="Arial" w:cs="Arial" w:eastAsia="Arial" w:hAnsi="Arial"/>
          <w:sz w:val="18"/>
          <w:szCs w:val="18"/>
          <w:i w:val="1"/>
          <w:iCs w:val="1"/>
          <w:color w:val="auto"/>
        </w:rPr>
        <w:t>Investors</w:t>
      </w:r>
      <w:r>
        <w:rPr>
          <w:rFonts w:ascii="Arial" w:cs="Arial" w:eastAsia="Arial" w:hAnsi="Arial"/>
          <w:sz w:val="18"/>
          <w:szCs w:val="18"/>
          <w:color w:val="auto"/>
        </w:rPr>
        <w:t>” section of the site.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make all required disclosures regarding any amendments to, or waivers from, provisions of our code of business conduct at the same location of our website.</w:t>
      </w:r>
    </w:p>
    <w:p>
      <w:pPr>
        <w:spacing w:after="0" w:line="15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entitled “</w:t>
      </w:r>
      <w:r>
        <w:rPr>
          <w:rFonts w:ascii="Arial" w:cs="Arial" w:eastAsia="Arial" w:hAnsi="Arial"/>
          <w:sz w:val="18"/>
          <w:szCs w:val="18"/>
          <w:i w:val="1"/>
          <w:iCs w:val="1"/>
          <w:color w:val="auto"/>
        </w:rPr>
        <w:t>Proposal 1 - Election of Directors,”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at Biogen” </w:t>
      </w:r>
      <w:r>
        <w:rPr>
          <w:rFonts w:ascii="Arial" w:cs="Arial" w:eastAsia="Arial" w:hAnsi="Arial"/>
          <w:sz w:val="18"/>
          <w:szCs w:val="18"/>
          <w:color w:val="auto"/>
        </w:rPr>
        <w:t>and “</w:t>
      </w:r>
      <w:r>
        <w:rPr>
          <w:rFonts w:ascii="Arial" w:cs="Arial" w:eastAsia="Arial" w:hAnsi="Arial"/>
          <w:sz w:val="18"/>
          <w:szCs w:val="18"/>
          <w:i w:val="1"/>
          <w:iCs w:val="1"/>
          <w:color w:val="auto"/>
        </w:rPr>
        <w:t>Miscellaneous - Stockholder Proposals</w:t>
      </w:r>
      <w:r>
        <w:rPr>
          <w:rFonts w:ascii="Arial" w:cs="Arial" w:eastAsia="Arial" w:hAnsi="Arial"/>
          <w:sz w:val="18"/>
          <w:szCs w:val="18"/>
          <w:color w:val="auto"/>
        </w:rPr>
        <w:t>” contained in the proxy statement for our 2021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1C5A7D"/>
        </w:rPr>
        <w:t>Item 11.</w:t>
      </w:r>
      <w:r>
        <w:rPr>
          <w:sz w:val="20"/>
          <w:szCs w:val="20"/>
          <w:color w:val="auto"/>
        </w:rPr>
        <w:tab/>
      </w:r>
      <w:r>
        <w:rPr>
          <w:rFonts w:ascii="Arial" w:cs="Arial" w:eastAsia="Arial" w:hAnsi="Arial"/>
          <w:sz w:val="21"/>
          <w:szCs w:val="21"/>
          <w:b w:val="1"/>
          <w:bCs w:val="1"/>
          <w:color w:val="1C5A7D"/>
        </w:rPr>
        <w:t>Executive Compensation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incorporated by reference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responsive thereto in the sections entitled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Compensation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 Biogen” </w:t>
      </w:r>
      <w:r>
        <w:rPr>
          <w:rFonts w:ascii="Arial" w:cs="Arial" w:eastAsia="Arial" w:hAnsi="Arial"/>
          <w:sz w:val="18"/>
          <w:szCs w:val="18"/>
          <w:color w:val="auto"/>
        </w:rPr>
        <w:t>contained in the proxy statement for our 2021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of stockholders.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380"/>
        <w:spacing w:after="0"/>
        <w:tabs>
          <w:tab w:leader="none" w:pos="1660" w:val="left"/>
        </w:tabs>
        <w:rPr>
          <w:sz w:val="20"/>
          <w:szCs w:val="20"/>
          <w:color w:val="auto"/>
        </w:rPr>
      </w:pPr>
      <w:r>
        <w:rPr>
          <w:rFonts w:ascii="Arial" w:cs="Arial" w:eastAsia="Arial" w:hAnsi="Arial"/>
          <w:sz w:val="22"/>
          <w:szCs w:val="22"/>
          <w:b w:val="1"/>
          <w:bCs w:val="1"/>
          <w:color w:val="1C5A7D"/>
        </w:rPr>
        <w:t>Item 12.</w:t>
      </w:r>
      <w:r>
        <w:rPr>
          <w:sz w:val="20"/>
          <w:szCs w:val="20"/>
          <w:color w:val="auto"/>
        </w:rPr>
        <w:tab/>
      </w:r>
      <w:r>
        <w:rPr>
          <w:rFonts w:ascii="Arial" w:cs="Arial" w:eastAsia="Arial" w:hAnsi="Arial"/>
          <w:sz w:val="21"/>
          <w:szCs w:val="21"/>
          <w:b w:val="1"/>
          <w:bCs w:val="1"/>
          <w:color w:val="1C5A7D"/>
        </w:rPr>
        <w:t>Security Ownership of Certain</w:t>
      </w:r>
    </w:p>
    <w:p>
      <w:pPr>
        <w:spacing w:after="0" w:line="30" w:lineRule="exact"/>
        <w:rPr>
          <w:sz w:val="20"/>
          <w:szCs w:val="20"/>
          <w:color w:val="auto"/>
        </w:rPr>
      </w:pPr>
    </w:p>
    <w:p>
      <w:pPr>
        <w:ind w:left="380" w:right="220"/>
        <w:spacing w:after="0" w:line="249" w:lineRule="auto"/>
        <w:rPr>
          <w:sz w:val="20"/>
          <w:szCs w:val="20"/>
          <w:color w:val="auto"/>
        </w:rPr>
      </w:pPr>
      <w:r>
        <w:rPr>
          <w:rFonts w:ascii="Arial" w:cs="Arial" w:eastAsia="Arial" w:hAnsi="Arial"/>
          <w:sz w:val="22"/>
          <w:szCs w:val="22"/>
          <w:b w:val="1"/>
          <w:bCs w:val="1"/>
          <w:color w:val="1C5A7D"/>
        </w:rPr>
        <w:t>Beneficial Owners and Management and Related Stockholder Matters</w:t>
      </w:r>
    </w:p>
    <w:p>
      <w:pPr>
        <w:spacing w:after="0" w:line="61" w:lineRule="exact"/>
        <w:rPr>
          <w:sz w:val="20"/>
          <w:szCs w:val="20"/>
          <w:color w:val="auto"/>
        </w:rPr>
      </w:pPr>
    </w:p>
    <w:p>
      <w:pPr>
        <w:ind w:left="380" w:right="40" w:firstLine="445"/>
        <w:spacing w:after="0" w:line="253" w:lineRule="auto"/>
        <w:rPr>
          <w:sz w:val="20"/>
          <w:szCs w:val="20"/>
          <w:color w:val="auto"/>
        </w:rPr>
      </w:pPr>
      <w:r>
        <w:rPr>
          <w:rFonts w:ascii="Arial" w:cs="Arial" w:eastAsia="Arial" w:hAnsi="Arial"/>
          <w:sz w:val="18"/>
          <w:szCs w:val="18"/>
          <w:color w:val="auto"/>
        </w:rPr>
        <w:t xml:space="preserve">The response to this item is incorporated by reference from the discussion responsive thereto in the sections entitled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Ownership”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 Information” </w:t>
      </w:r>
      <w:r>
        <w:rPr>
          <w:rFonts w:ascii="Arial" w:cs="Arial" w:eastAsia="Arial" w:hAnsi="Arial"/>
          <w:sz w:val="18"/>
          <w:szCs w:val="18"/>
          <w:color w:val="auto"/>
        </w:rPr>
        <w:t>contained in the proxy statement for our 2021 annual meeting of stockholders.</w:t>
      </w:r>
    </w:p>
    <w:p>
      <w:pPr>
        <w:spacing w:after="0" w:line="227" w:lineRule="exact"/>
        <w:rPr>
          <w:sz w:val="20"/>
          <w:szCs w:val="20"/>
          <w:color w:val="auto"/>
        </w:rPr>
      </w:pPr>
    </w:p>
    <w:p>
      <w:pPr>
        <w:ind w:left="380" w:right="400"/>
        <w:spacing w:after="0" w:line="274" w:lineRule="auto"/>
        <w:rPr>
          <w:sz w:val="20"/>
          <w:szCs w:val="20"/>
          <w:color w:val="auto"/>
        </w:rPr>
      </w:pPr>
      <w:r>
        <w:rPr>
          <w:rFonts w:ascii="Arial" w:cs="Arial" w:eastAsia="Arial" w:hAnsi="Arial"/>
          <w:sz w:val="22"/>
          <w:szCs w:val="22"/>
          <w:b w:val="1"/>
          <w:bCs w:val="1"/>
          <w:color w:val="1C5A7D"/>
        </w:rPr>
        <w:t>Item 13. Certain Relationships and Related Transactions, and Director Independence</w:t>
      </w:r>
    </w:p>
    <w:p>
      <w:pPr>
        <w:spacing w:after="0" w:line="48"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“Corporate Governance at Biogen</w:t>
      </w:r>
      <w:r>
        <w:rPr>
          <w:rFonts w:ascii="Arial" w:cs="Arial" w:eastAsia="Arial" w:hAnsi="Arial"/>
          <w:sz w:val="18"/>
          <w:szCs w:val="18"/>
          <w:color w:val="auto"/>
        </w:rPr>
        <w:t>” contained in the proxy statement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annual meeting of stockholders.</w:t>
      </w:r>
    </w:p>
    <w:p>
      <w:pPr>
        <w:spacing w:after="0" w:line="214" w:lineRule="exact"/>
        <w:rPr>
          <w:sz w:val="20"/>
          <w:szCs w:val="20"/>
          <w:color w:val="auto"/>
        </w:rPr>
      </w:pPr>
    </w:p>
    <w:p>
      <w:pPr>
        <w:ind w:left="380" w:right="760"/>
        <w:spacing w:after="0" w:line="274" w:lineRule="auto"/>
        <w:rPr>
          <w:sz w:val="20"/>
          <w:szCs w:val="20"/>
          <w:color w:val="auto"/>
        </w:rPr>
      </w:pPr>
      <w:r>
        <w:rPr>
          <w:rFonts w:ascii="Arial" w:cs="Arial" w:eastAsia="Arial" w:hAnsi="Arial"/>
          <w:sz w:val="22"/>
          <w:szCs w:val="22"/>
          <w:b w:val="1"/>
          <w:bCs w:val="1"/>
          <w:color w:val="1C5A7D"/>
        </w:rPr>
        <w:t>Item 14. Principal Accountant Fees and Services</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response to this item is incorporated by reference from</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discussion responsive thereto in the section entitled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2 - Ratification of the Selection of our Independent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Registered Public Accounting Firm</w:t>
      </w:r>
      <w:r>
        <w:rPr>
          <w:rFonts w:ascii="Arial" w:cs="Arial" w:eastAsia="Arial" w:hAnsi="Arial"/>
          <w:sz w:val="18"/>
          <w:szCs w:val="18"/>
          <w:color w:val="auto"/>
        </w:rPr>
        <w:t>” contained in the proxy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statement for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74930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180" w:space="340"/>
            <w:col w:w="5580"/>
          </w:cols>
          <w:pgMar w:left="320" w:top="144" w:right="47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1C5A7D"/>
        </w:rPr>
        <w:t>PART IV</w:t>
      </w:r>
    </w:p>
    <w:p>
      <w:pPr>
        <w:spacing w:after="0" w:line="26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1C5A7D"/>
        </w:rPr>
        <w:t>Item 15.</w:t>
      </w:r>
      <w:r>
        <w:rPr>
          <w:sz w:val="20"/>
          <w:szCs w:val="20"/>
          <w:color w:val="auto"/>
        </w:rPr>
        <w:tab/>
      </w:r>
      <w:r>
        <w:rPr>
          <w:rFonts w:ascii="Arial" w:cs="Arial" w:eastAsia="Arial" w:hAnsi="Arial"/>
          <w:sz w:val="21"/>
          <w:szCs w:val="21"/>
          <w:b w:val="1"/>
          <w:bCs w:val="1"/>
          <w:color w:val="1C5A7D"/>
        </w:rPr>
        <w:t>Exhibits and Financial Statement Schedules</w:t>
      </w:r>
    </w:p>
    <w:p>
      <w:pPr>
        <w:spacing w:after="0" w:line="162" w:lineRule="exact"/>
        <w:rPr>
          <w:sz w:val="20"/>
          <w:szCs w:val="20"/>
          <w:color w:val="auto"/>
        </w:rPr>
      </w:pPr>
    </w:p>
    <w:p>
      <w:pPr>
        <w:ind w:left="620" w:hanging="410"/>
        <w:spacing w:after="0"/>
        <w:tabs>
          <w:tab w:leader="none" w:pos="620" w:val="left"/>
        </w:tabs>
        <w:numPr>
          <w:ilvl w:val="0"/>
          <w:numId w:val="83"/>
        </w:numPr>
        <w:rPr>
          <w:rFonts w:ascii="Arial" w:cs="Arial" w:eastAsia="Arial" w:hAnsi="Arial"/>
          <w:sz w:val="18"/>
          <w:szCs w:val="18"/>
          <w:b w:val="1"/>
          <w:bCs w:val="1"/>
          <w:i w:val="1"/>
          <w:iCs w:val="1"/>
          <w:color w:val="2573BA"/>
        </w:rPr>
      </w:pPr>
      <w:r>
        <w:rPr>
          <w:rFonts w:ascii="Arial" w:cs="Arial" w:eastAsia="Arial" w:hAnsi="Arial"/>
          <w:sz w:val="18"/>
          <w:szCs w:val="18"/>
          <w:b w:val="1"/>
          <w:bCs w:val="1"/>
          <w:i w:val="1"/>
          <w:iCs w:val="1"/>
          <w:color w:val="2573BA"/>
        </w:rPr>
        <w:t>(1) Consolidated Financial Statements: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financial statements are filed as part of this report: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w:t>
            </w:r>
          </w:p>
        </w:tc>
        <w:tc>
          <w:tcPr>
            <w:tcW w:w="4160" w:type="dxa"/>
            <w:vAlign w:val="bottom"/>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 Number</w:t>
            </w:r>
          </w:p>
        </w:tc>
      </w:tr>
      <w:tr>
        <w:trPr>
          <w:trHeight w:val="22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Income</w:t>
            </w:r>
          </w:p>
        </w:tc>
        <w:tc>
          <w:tcPr>
            <w:tcW w:w="1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w:t>
            </w:r>
          </w:p>
        </w:tc>
        <w:tc>
          <w:tcPr>
            <w:tcW w:w="14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14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w:t>
            </w:r>
          </w:p>
        </w:tc>
        <w:tc>
          <w:tcPr>
            <w:tcW w:w="14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400" w:type="dxa"/>
            <w:vAlign w:val="bottom"/>
          </w:tcPr>
          <w:p>
            <w:pPr>
              <w:jc w:val="right"/>
              <w:spacing w:after="0"/>
              <w:rPr>
                <w:sz w:val="20"/>
                <w:szCs w:val="20"/>
                <w:color w:val="auto"/>
              </w:rPr>
            </w:pPr>
            <w:r>
              <w:rPr>
                <w:rFonts w:ascii="Arial" w:cs="Arial" w:eastAsia="Arial" w:hAnsi="Arial"/>
                <w:sz w:val="18"/>
                <w:szCs w:val="18"/>
                <w:color w:val="auto"/>
              </w:rPr>
              <w:t>F-79</w:t>
            </w: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totals may not sum due to rounding.</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2573BA"/>
        </w:rPr>
        <w:t>(2) Exhibits</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exhibits listed on the Exhibit Index beginning on page 86, which is incorporated herein by reference, are filed or furnished as part of this report or are incorporated into this report by reference.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(3) Financial Statement Schedules</w:t>
      </w:r>
    </w:p>
    <w:p>
      <w:pPr>
        <w:spacing w:after="0" w:line="112"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1C5A7D"/>
        </w:rPr>
        <w:t>Item 16.</w:t>
      </w:r>
      <w:r>
        <w:rPr>
          <w:sz w:val="20"/>
          <w:szCs w:val="20"/>
          <w:color w:val="auto"/>
        </w:rPr>
        <w:tab/>
      </w:r>
      <w:r>
        <w:rPr>
          <w:rFonts w:ascii="Arial" w:cs="Arial" w:eastAsia="Arial" w:hAnsi="Arial"/>
          <w:sz w:val="21"/>
          <w:szCs w:val="21"/>
          <w:b w:val="1"/>
          <w:bCs w:val="1"/>
          <w:color w:val="1C5A7D"/>
        </w:rPr>
        <w:t>Form 10-K Summary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60" w:type="dxa"/>
            <w:vAlign w:val="bottom"/>
            <w:gridSpan w:val="32"/>
          </w:tcPr>
          <w:p>
            <w:pPr>
              <w:ind w:left="780"/>
              <w:spacing w:after="0"/>
              <w:rPr>
                <w:sz w:val="20"/>
                <w:szCs w:val="20"/>
                <w:color w:val="auto"/>
              </w:rPr>
            </w:pPr>
            <w:r>
              <w:rPr>
                <w:rFonts w:ascii="Arial" w:cs="Arial" w:eastAsia="Arial" w:hAnsi="Arial"/>
                <w:sz w:val="22"/>
                <w:szCs w:val="22"/>
                <w:b w:val="1"/>
                <w:bCs w:val="1"/>
                <w:color w:val="1C5A7D"/>
              </w:rPr>
              <w:t>EXHIBIT INDEX</w:t>
            </w:r>
          </w:p>
        </w:tc>
      </w:tr>
      <w:tr>
        <w:trPr>
          <w:trHeight w:val="449"/>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40" w:type="dxa"/>
            <w:vAlign w:val="bottom"/>
            <w:gridSpan w:val="2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2.1†</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3">
              <w:r>
                <w:rPr>
                  <w:rFonts w:ascii="Arial" w:cs="Arial" w:eastAsia="Arial" w:hAnsi="Arial"/>
                  <w:sz w:val="16"/>
                  <w:szCs w:val="16"/>
                  <w:color w:val="0000FF"/>
                </w:rPr>
                <w:t>Asset Purchase Agreement among Biogen Idec International Holding Ltd., Elan Pharma International Limited and Elan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Pharmaceuticals, Inc., dated as of February 5, 2013. Filed as Exhibit 2.1 to our Current Report on Form 8-K/A filed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February 12, 2013.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2.2</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4">
              <w:r>
                <w:rPr>
                  <w:rFonts w:ascii="Arial" w:cs="Arial" w:eastAsia="Arial" w:hAnsi="Arial"/>
                  <w:sz w:val="16"/>
                  <w:szCs w:val="16"/>
                  <w:color w:val="0000FF"/>
                </w:rPr>
                <w:t>Separation Agreement between Biogen Inc. and Bioverativ Inc. dated as of January 31, 2017. Filed as Exhibit 2.1 to</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our Current Report on Form 8-K filed on February 2,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3.1</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5">
              <w:r>
                <w:rPr>
                  <w:rFonts w:ascii="Arial" w:cs="Arial" w:eastAsia="Arial" w:hAnsi="Arial"/>
                  <w:sz w:val="16"/>
                  <w:szCs w:val="16"/>
                  <w:color w:val="0000FF"/>
                </w:rPr>
                <w:t>Amended and Restated Certificate of Incorporation, as amended. Filed as Exhibit 3.1 to our Quarterly Report on Form</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10-Q for the quarter ended June 30, 2012.</w:t>
              </w:r>
            </w:hyperlink>
          </w:p>
        </w:tc>
        <w:tc>
          <w:tcPr>
            <w:tcW w:w="568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3.2</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6">
              <w:r>
                <w:rPr>
                  <w:rFonts w:ascii="Arial" w:cs="Arial" w:eastAsia="Arial" w:hAnsi="Arial"/>
                  <w:sz w:val="16"/>
                  <w:szCs w:val="16"/>
                  <w:color w:val="0000FF"/>
                </w:rPr>
                <w:t>Certificate of Amendment to the Certificate of Incorporation. Filed as Exhibit 3.1 to our Current Report on Form 8-K filed</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on March 27, 2015.</w:t>
              </w:r>
            </w:hyperlink>
          </w:p>
        </w:tc>
        <w:tc>
          <w:tcPr>
            <w:tcW w:w="728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1"/>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3.3</w:t>
            </w:r>
          </w:p>
        </w:tc>
        <w:tc>
          <w:tcPr>
            <w:tcW w:w="1780" w:type="dxa"/>
            <w:vAlign w:val="bottom"/>
          </w:tcPr>
          <w:p>
            <w:pPr>
              <w:spacing w:after="0"/>
              <w:rPr>
                <w:sz w:val="20"/>
                <w:szCs w:val="20"/>
                <w:color w:val="auto"/>
              </w:rPr>
            </w:pPr>
          </w:p>
        </w:tc>
        <w:tc>
          <w:tcPr>
            <w:tcW w:w="8860" w:type="dxa"/>
            <w:vAlign w:val="bottom"/>
            <w:gridSpan w:val="35"/>
          </w:tcPr>
          <w:p>
            <w:pPr>
              <w:spacing w:after="0"/>
              <w:rPr>
                <w:rFonts w:ascii="Arial" w:cs="Arial" w:eastAsia="Arial" w:hAnsi="Arial"/>
                <w:sz w:val="16"/>
                <w:szCs w:val="16"/>
                <w:u w:val="single" w:color="auto"/>
                <w:color w:val="0000FF"/>
              </w:rPr>
            </w:pPr>
            <w:hyperlink r:id="rId227">
              <w:r>
                <w:rPr>
                  <w:rFonts w:ascii="Arial" w:cs="Arial" w:eastAsia="Arial" w:hAnsi="Arial"/>
                  <w:sz w:val="16"/>
                  <w:szCs w:val="16"/>
                  <w:u w:val="single" w:color="auto"/>
                  <w:color w:val="0000FF"/>
                </w:rPr>
                <w:t>Fourth Amended and Restated Bylaws. Filed as Exhibit 3.1 to our Current Report on Form 8-K filed on June 9, 2017.</w:t>
              </w:r>
            </w:hyperlink>
          </w:p>
        </w:tc>
      </w:tr>
      <w:tr>
        <w:trPr>
          <w:trHeight w:val="181"/>
        </w:trPr>
        <w:tc>
          <w:tcPr>
            <w:tcW w:w="8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4.1</w:t>
            </w:r>
          </w:p>
        </w:tc>
        <w:tc>
          <w:tcPr>
            <w:tcW w:w="1780" w:type="dxa"/>
            <w:vAlign w:val="bottom"/>
          </w:tcPr>
          <w:p>
            <w:pPr>
              <w:spacing w:after="0"/>
              <w:rPr>
                <w:sz w:val="15"/>
                <w:szCs w:val="15"/>
                <w:color w:val="auto"/>
              </w:rPr>
            </w:pPr>
          </w:p>
        </w:tc>
        <w:tc>
          <w:tcPr>
            <w:tcW w:w="8860" w:type="dxa"/>
            <w:vAlign w:val="bottom"/>
            <w:gridSpan w:val="35"/>
          </w:tcPr>
          <w:p>
            <w:pPr>
              <w:spacing w:after="0" w:line="181" w:lineRule="exact"/>
              <w:rPr>
                <w:rFonts w:ascii="Arial" w:cs="Arial" w:eastAsia="Arial" w:hAnsi="Arial"/>
                <w:sz w:val="16"/>
                <w:szCs w:val="16"/>
                <w:color w:val="0000FF"/>
              </w:rPr>
            </w:pPr>
            <w:hyperlink w:anchor="page175">
              <w:r>
                <w:rPr>
                  <w:rFonts w:ascii="Arial" w:cs="Arial" w:eastAsia="Arial" w:hAnsi="Arial"/>
                  <w:sz w:val="16"/>
                  <w:szCs w:val="16"/>
                  <w:color w:val="0000FF"/>
                </w:rPr>
                <w:t>Second Supplemental Indenture, dated April 30, 2020, between Biogen Inc. and U.S. Bank National Association,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8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rPr>
            </w:pPr>
            <w:hyperlink w:anchor="page175">
              <w:r>
                <w:rPr>
                  <w:rFonts w:ascii="Arial" w:cs="Arial" w:eastAsia="Arial" w:hAnsi="Arial"/>
                  <w:sz w:val="16"/>
                  <w:szCs w:val="16"/>
                  <w:color w:val="0000FF"/>
                </w:rPr>
                <w:t>including the forms of Global Notes attached as Exhibit A and Exhibit B, respectively, thereto. Filed as Exhibit 4.2 to our</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8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w:anchor="page175">
              <w:r>
                <w:rPr>
                  <w:rFonts w:ascii="Arial" w:cs="Arial" w:eastAsia="Arial" w:hAnsi="Arial"/>
                  <w:sz w:val="16"/>
                  <w:szCs w:val="16"/>
                  <w:color w:val="0000FF"/>
                </w:rPr>
                <w:t>Current Report on Form 8-K filed on April 30, 2020.</w:t>
              </w:r>
            </w:hyperlink>
          </w:p>
        </w:tc>
        <w:tc>
          <w:tcPr>
            <w:tcW w:w="5120" w:type="dxa"/>
            <w:vAlign w:val="bottom"/>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4.1</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5">
              <w:r>
                <w:rPr>
                  <w:rFonts w:ascii="Arial" w:cs="Arial" w:eastAsia="Arial" w:hAnsi="Arial"/>
                  <w:sz w:val="16"/>
                  <w:szCs w:val="16"/>
                  <w:color w:val="0000FF"/>
                </w:rPr>
                <w:t>Reference is made to Exhibit 3.1 for a description of the rights, preferences and privileges of our Series A Preferred</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Stock and Series X Junior Participating Preferred Stock.</w:t>
              </w:r>
            </w:hyperlink>
          </w:p>
        </w:tc>
        <w:tc>
          <w:tcPr>
            <w:tcW w:w="45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4.2</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8">
              <w:r>
                <w:rPr>
                  <w:rFonts w:ascii="Arial" w:cs="Arial" w:eastAsia="Arial" w:hAnsi="Arial"/>
                  <w:sz w:val="16"/>
                  <w:szCs w:val="16"/>
                  <w:color w:val="0000FF"/>
                </w:rPr>
                <w:t>Indenture between Biogen Inc. and U.S. Bank National Association, dated as of September 15, 2015. Filed as Exhibit</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4.</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September 16, 2015.</w:t>
              </w:r>
            </w:hyperlink>
          </w:p>
        </w:tc>
        <w:tc>
          <w:tcPr>
            <w:tcW w:w="37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4.3</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29">
              <w:r>
                <w:rPr>
                  <w:rFonts w:ascii="Arial" w:cs="Arial" w:eastAsia="Arial" w:hAnsi="Arial"/>
                  <w:sz w:val="16"/>
                  <w:szCs w:val="16"/>
                  <w:color w:val="0000FF"/>
                </w:rPr>
                <w:t>First Supplemental Indenture between Biogen Inc. and U.S. Bank National Association, dated September 15, 2015.</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Filed as Exhibit 4.2 to our Current Report on Form 8-K filed on September 16, 2015.</w:t>
              </w:r>
            </w:hyperlink>
          </w:p>
        </w:tc>
        <w:tc>
          <w:tcPr>
            <w:tcW w:w="2740" w:type="dxa"/>
            <w:vAlign w:val="bottom"/>
            <w:tcBorders>
              <w:top w:val="single" w:sz="8" w:color="0000FF"/>
            </w:tcBorders>
            <w:gridSpan w:val="1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1"/>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4.4+</w:t>
            </w:r>
          </w:p>
        </w:tc>
        <w:tc>
          <w:tcPr>
            <w:tcW w:w="1780" w:type="dxa"/>
            <w:vAlign w:val="bottom"/>
          </w:tcPr>
          <w:p>
            <w:pPr>
              <w:spacing w:after="0"/>
              <w:rPr>
                <w:sz w:val="20"/>
                <w:szCs w:val="20"/>
                <w:color w:val="auto"/>
              </w:rPr>
            </w:pPr>
          </w:p>
        </w:tc>
        <w:tc>
          <w:tcPr>
            <w:tcW w:w="8860" w:type="dxa"/>
            <w:vAlign w:val="bottom"/>
            <w:gridSpan w:val="35"/>
          </w:tcPr>
          <w:p>
            <w:pPr>
              <w:spacing w:after="0"/>
              <w:rPr>
                <w:rFonts w:ascii="Arial" w:cs="Arial" w:eastAsia="Arial" w:hAnsi="Arial"/>
                <w:sz w:val="16"/>
                <w:szCs w:val="16"/>
                <w:u w:val="single" w:color="auto"/>
                <w:color w:val="0000FF"/>
              </w:rPr>
            </w:pPr>
            <w:hyperlink w:anchor="page175">
              <w:r>
                <w:rPr>
                  <w:rFonts w:ascii="Arial" w:cs="Arial" w:eastAsia="Arial" w:hAnsi="Arial"/>
                  <w:sz w:val="16"/>
                  <w:szCs w:val="16"/>
                  <w:u w:val="single" w:color="auto"/>
                  <w:color w:val="0000FF"/>
                </w:rPr>
                <w:t>Description of Securities.</w:t>
              </w:r>
            </w:hyperlink>
          </w:p>
        </w:tc>
      </w:tr>
      <w:tr>
        <w:trPr>
          <w:trHeight w:val="181"/>
        </w:trPr>
        <w:tc>
          <w:tcPr>
            <w:tcW w:w="88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10.1</w:t>
            </w:r>
          </w:p>
        </w:tc>
        <w:tc>
          <w:tcPr>
            <w:tcW w:w="1780" w:type="dxa"/>
            <w:vAlign w:val="bottom"/>
          </w:tcPr>
          <w:p>
            <w:pPr>
              <w:spacing w:after="0"/>
              <w:rPr>
                <w:sz w:val="15"/>
                <w:szCs w:val="15"/>
                <w:color w:val="auto"/>
              </w:rPr>
            </w:pPr>
          </w:p>
        </w:tc>
        <w:tc>
          <w:tcPr>
            <w:tcW w:w="8860" w:type="dxa"/>
            <w:vAlign w:val="bottom"/>
            <w:gridSpan w:val="35"/>
          </w:tcPr>
          <w:p>
            <w:pPr>
              <w:spacing w:after="0" w:line="181" w:lineRule="exact"/>
              <w:rPr>
                <w:rFonts w:ascii="Arial" w:cs="Arial" w:eastAsia="Arial" w:hAnsi="Arial"/>
                <w:sz w:val="16"/>
                <w:szCs w:val="16"/>
                <w:color w:val="0000FF"/>
              </w:rPr>
            </w:pPr>
            <w:hyperlink r:id="rId230">
              <w:r>
                <w:rPr>
                  <w:rFonts w:ascii="Arial" w:cs="Arial" w:eastAsia="Arial" w:hAnsi="Arial"/>
                  <w:sz w:val="16"/>
                  <w:szCs w:val="16"/>
                  <w:color w:val="0000FF"/>
                </w:rPr>
                <w:t>Credit Agreement between Biogen Inc., Bank of America, N.A., Goldman Sachs Bank USA and other lenders party</w:t>
              </w:r>
            </w:hyperlink>
          </w:p>
        </w:tc>
      </w:tr>
      <w:tr>
        <w:trPr>
          <w:trHeight w:val="188"/>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20" w:type="dxa"/>
            <w:vAlign w:val="bottom"/>
            <w:tcBorders>
              <w:top w:val="single" w:sz="8" w:color="0000FF"/>
            </w:tcBorders>
            <w:gridSpan w:val="33"/>
          </w:tcPr>
          <w:p>
            <w:pPr>
              <w:spacing w:after="0"/>
              <w:rPr>
                <w:rFonts w:ascii="Arial" w:cs="Arial" w:eastAsia="Arial" w:hAnsi="Arial"/>
                <w:sz w:val="16"/>
                <w:szCs w:val="16"/>
                <w:u w:val="single" w:color="auto"/>
                <w:color w:val="0000FF"/>
              </w:rPr>
            </w:pPr>
            <w:hyperlink r:id="rId230">
              <w:r>
                <w:rPr>
                  <w:rFonts w:ascii="Arial" w:cs="Arial" w:eastAsia="Arial" w:hAnsi="Arial"/>
                  <w:sz w:val="16"/>
                  <w:szCs w:val="16"/>
                  <w:u w:val="single" w:color="auto"/>
                  <w:color w:val="0000FF"/>
                </w:rPr>
                <w:t>thereto, dated August 28, 2015. Filed as Exhibit 10.1 to our Current Report on Form 8-K filed on September 1, 2015.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880" w:type="dxa"/>
            <w:vAlign w:val="bottom"/>
            <w:gridSpan w:val="2"/>
          </w:tcPr>
          <w:p>
            <w:pPr>
              <w:ind w:left="40"/>
              <w:spacing w:after="0" w:line="170" w:lineRule="exact"/>
              <w:rPr>
                <w:sz w:val="20"/>
                <w:szCs w:val="20"/>
                <w:color w:val="auto"/>
              </w:rPr>
            </w:pPr>
            <w:r>
              <w:rPr>
                <w:rFonts w:ascii="Arial" w:cs="Arial" w:eastAsia="Arial" w:hAnsi="Arial"/>
                <w:sz w:val="16"/>
                <w:szCs w:val="16"/>
                <w:color w:val="auto"/>
              </w:rPr>
              <w:t>10.2</w:t>
            </w:r>
          </w:p>
        </w:tc>
        <w:tc>
          <w:tcPr>
            <w:tcW w:w="1780" w:type="dxa"/>
            <w:vAlign w:val="bottom"/>
          </w:tcPr>
          <w:p>
            <w:pPr>
              <w:spacing w:after="0"/>
              <w:rPr>
                <w:sz w:val="14"/>
                <w:szCs w:val="14"/>
                <w:color w:val="auto"/>
              </w:rPr>
            </w:pPr>
          </w:p>
        </w:tc>
        <w:tc>
          <w:tcPr>
            <w:tcW w:w="8860" w:type="dxa"/>
            <w:vAlign w:val="bottom"/>
            <w:gridSpan w:val="35"/>
          </w:tcPr>
          <w:p>
            <w:pPr>
              <w:spacing w:after="0" w:line="170" w:lineRule="exact"/>
              <w:rPr>
                <w:rFonts w:ascii="Arial" w:cs="Arial" w:eastAsia="Arial" w:hAnsi="Arial"/>
                <w:sz w:val="16"/>
                <w:szCs w:val="16"/>
                <w:color w:val="0000FF"/>
              </w:rPr>
            </w:pPr>
            <w:hyperlink r:id="rId231">
              <w:r>
                <w:rPr>
                  <w:rFonts w:ascii="Arial" w:cs="Arial" w:eastAsia="Arial" w:hAnsi="Arial"/>
                  <w:sz w:val="16"/>
                  <w:szCs w:val="16"/>
                  <w:color w:val="0000FF"/>
                </w:rPr>
                <w:t>Credit Agreement, dated as of January 28, 2020, among Biogen Inc., Bank of America, N.A., as administrative agent,</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swing ling lender and the L/C issuer, and the other lenders party thereto. Filed as Exhibit 10.1 to our Current Report on</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Form 8-K filed on February 3, 2020.</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10.3†</w:t>
            </w:r>
          </w:p>
        </w:tc>
        <w:tc>
          <w:tcPr>
            <w:tcW w:w="8860" w:type="dxa"/>
            <w:vAlign w:val="bottom"/>
            <w:gridSpan w:val="35"/>
          </w:tcPr>
          <w:p>
            <w:pPr>
              <w:spacing w:after="0"/>
              <w:rPr>
                <w:rFonts w:ascii="Arial" w:cs="Arial" w:eastAsia="Arial" w:hAnsi="Arial"/>
                <w:sz w:val="16"/>
                <w:szCs w:val="16"/>
                <w:color w:val="0000FF"/>
              </w:rPr>
            </w:pPr>
            <w:hyperlink r:id="rId232">
              <w:r>
                <w:rPr>
                  <w:rFonts w:ascii="Arial" w:cs="Arial" w:eastAsia="Arial" w:hAnsi="Arial"/>
                  <w:sz w:val="16"/>
                  <w:szCs w:val="16"/>
                  <w:color w:val="0000FF"/>
                </w:rPr>
                <w:t>Second Amended and Restated Collaboration Agreement between Biogen Idec Inc. and Genentech, Inc., dated as of</w:t>
              </w:r>
            </w:hyperlink>
          </w:p>
        </w:tc>
      </w:tr>
      <w:tr>
        <w:trPr>
          <w:trHeight w:val="188"/>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60" w:type="dxa"/>
            <w:vAlign w:val="bottom"/>
            <w:tcBorders>
              <w:top w:val="single" w:sz="8" w:color="0000FF"/>
            </w:tcBorders>
            <w:gridSpan w:val="25"/>
          </w:tcPr>
          <w:p>
            <w:pPr>
              <w:spacing w:after="0"/>
              <w:rPr>
                <w:rFonts w:ascii="Arial" w:cs="Arial" w:eastAsia="Arial" w:hAnsi="Arial"/>
                <w:sz w:val="16"/>
                <w:szCs w:val="16"/>
                <w:u w:val="single" w:color="auto"/>
                <w:color w:val="0000FF"/>
              </w:rPr>
            </w:pPr>
            <w:hyperlink r:id="rId232">
              <w:r>
                <w:rPr>
                  <w:rFonts w:ascii="Arial" w:cs="Arial" w:eastAsia="Arial" w:hAnsi="Arial"/>
                  <w:sz w:val="16"/>
                  <w:szCs w:val="16"/>
                  <w:u w:val="single" w:color="auto"/>
                  <w:color w:val="0000FF"/>
                </w:rPr>
                <w:t>October 18, 2010. Filed as Exhibit 10.5 to our Annual Report on Form 10-K for the year ended December 31, 2010.</w:t>
              </w:r>
            </w:hyperlink>
          </w:p>
        </w:tc>
        <w:tc>
          <w:tcPr>
            <w:tcW w:w="40" w:type="dxa"/>
            <w:vAlign w:val="bottom"/>
            <w:gridSpan w:val="2"/>
          </w:tcPr>
          <w:p>
            <w:pPr>
              <w:spacing w:after="0"/>
              <w:rPr>
                <w:sz w:val="16"/>
                <w:szCs w:val="16"/>
                <w:color w:val="auto"/>
              </w:rPr>
            </w:pPr>
          </w:p>
        </w:tc>
        <w:tc>
          <w:tcPr>
            <w:tcW w:w="1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2620" w:type="dxa"/>
            <w:vAlign w:val="bottom"/>
            <w:gridSpan w:val="2"/>
          </w:tcPr>
          <w:p>
            <w:pPr>
              <w:spacing w:after="0" w:line="170" w:lineRule="exact"/>
              <w:rPr>
                <w:sz w:val="20"/>
                <w:szCs w:val="20"/>
                <w:color w:val="auto"/>
              </w:rPr>
            </w:pPr>
            <w:r>
              <w:rPr>
                <w:rFonts w:ascii="Arial" w:cs="Arial" w:eastAsia="Arial" w:hAnsi="Arial"/>
                <w:sz w:val="16"/>
                <w:szCs w:val="16"/>
                <w:color w:val="auto"/>
              </w:rPr>
              <w:t>10.4†</w:t>
            </w:r>
          </w:p>
        </w:tc>
        <w:tc>
          <w:tcPr>
            <w:tcW w:w="8860" w:type="dxa"/>
            <w:vAlign w:val="bottom"/>
            <w:gridSpan w:val="35"/>
          </w:tcPr>
          <w:p>
            <w:pPr>
              <w:spacing w:after="0" w:line="170" w:lineRule="exact"/>
              <w:rPr>
                <w:rFonts w:ascii="Arial" w:cs="Arial" w:eastAsia="Arial" w:hAnsi="Arial"/>
                <w:sz w:val="16"/>
                <w:szCs w:val="16"/>
                <w:color w:val="0000FF"/>
              </w:rPr>
            </w:pPr>
            <w:hyperlink r:id="rId233">
              <w:r>
                <w:rPr>
                  <w:rFonts w:ascii="Arial" w:cs="Arial" w:eastAsia="Arial" w:hAnsi="Arial"/>
                  <w:sz w:val="16"/>
                  <w:szCs w:val="16"/>
                  <w:color w:val="0000FF"/>
                </w:rPr>
                <w:t>Letter Agreement regarding GA101 financial terms between Biogen Idec Inc. and Genentech, Inc., dated October 18,</w:t>
              </w:r>
            </w:hyperlink>
          </w:p>
        </w:tc>
      </w:tr>
      <w:tr>
        <w:trPr>
          <w:trHeight w:val="188"/>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560" w:type="dxa"/>
            <w:vAlign w:val="bottom"/>
            <w:tcBorders>
              <w:top w:val="single" w:sz="8" w:color="0000FF"/>
            </w:tcBorders>
            <w:gridSpan w:val="20"/>
          </w:tcPr>
          <w:p>
            <w:pPr>
              <w:spacing w:after="0"/>
              <w:rPr>
                <w:rFonts w:ascii="Arial" w:cs="Arial" w:eastAsia="Arial" w:hAnsi="Arial"/>
                <w:sz w:val="16"/>
                <w:szCs w:val="16"/>
                <w:u w:val="single" w:color="auto"/>
                <w:color w:val="0000FF"/>
              </w:rPr>
            </w:pPr>
            <w:hyperlink r:id="rId233">
              <w:r>
                <w:rPr>
                  <w:rFonts w:ascii="Arial" w:cs="Arial" w:eastAsia="Arial" w:hAnsi="Arial"/>
                  <w:sz w:val="16"/>
                  <w:szCs w:val="16"/>
                  <w:u w:val="single" w:color="auto"/>
                  <w:color w:val="0000FF"/>
                </w:rPr>
                <w:t>2010. Filed as Exhibit 10.6 to our Annual Report on Form 10-K for the year ended December 31, 2010.</w:t>
              </w:r>
            </w:hyperlink>
          </w:p>
        </w:tc>
        <w:tc>
          <w:tcPr>
            <w:tcW w:w="40" w:type="dxa"/>
            <w:vAlign w:val="bottom"/>
            <w:gridSpan w:val="2"/>
          </w:tcPr>
          <w:p>
            <w:pPr>
              <w:spacing w:after="0"/>
              <w:rPr>
                <w:sz w:val="16"/>
                <w:szCs w:val="16"/>
                <w:color w:val="auto"/>
              </w:rPr>
            </w:pPr>
          </w:p>
        </w:tc>
        <w:tc>
          <w:tcPr>
            <w:tcW w:w="100" w:type="dxa"/>
            <w:vAlign w:val="bottom"/>
            <w:gridSpan w:val="5"/>
          </w:tcPr>
          <w:p>
            <w:pPr>
              <w:spacing w:after="0"/>
              <w:rPr>
                <w:sz w:val="16"/>
                <w:szCs w:val="16"/>
                <w:color w:val="auto"/>
              </w:rPr>
            </w:pPr>
          </w:p>
        </w:tc>
        <w:tc>
          <w:tcPr>
            <w:tcW w:w="1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880" w:type="dxa"/>
            <w:vAlign w:val="bottom"/>
            <w:gridSpan w:val="2"/>
          </w:tcPr>
          <w:p>
            <w:pPr>
              <w:ind w:left="40"/>
              <w:spacing w:after="0" w:line="170" w:lineRule="exact"/>
              <w:rPr>
                <w:sz w:val="20"/>
                <w:szCs w:val="20"/>
                <w:color w:val="auto"/>
              </w:rPr>
            </w:pPr>
            <w:r>
              <w:rPr>
                <w:rFonts w:ascii="Arial" w:cs="Arial" w:eastAsia="Arial" w:hAnsi="Arial"/>
                <w:sz w:val="16"/>
                <w:szCs w:val="16"/>
                <w:color w:val="auto"/>
              </w:rPr>
              <w:t>10.5</w:t>
            </w:r>
          </w:p>
        </w:tc>
        <w:tc>
          <w:tcPr>
            <w:tcW w:w="1780" w:type="dxa"/>
            <w:vAlign w:val="bottom"/>
          </w:tcPr>
          <w:p>
            <w:pPr>
              <w:spacing w:after="0"/>
              <w:rPr>
                <w:sz w:val="14"/>
                <w:szCs w:val="14"/>
                <w:color w:val="auto"/>
              </w:rPr>
            </w:pPr>
          </w:p>
        </w:tc>
        <w:tc>
          <w:tcPr>
            <w:tcW w:w="8860" w:type="dxa"/>
            <w:vAlign w:val="bottom"/>
            <w:gridSpan w:val="35"/>
          </w:tcPr>
          <w:p>
            <w:pPr>
              <w:spacing w:after="0" w:line="170" w:lineRule="exact"/>
              <w:rPr>
                <w:rFonts w:ascii="Arial" w:cs="Arial" w:eastAsia="Arial" w:hAnsi="Arial"/>
                <w:sz w:val="16"/>
                <w:szCs w:val="16"/>
                <w:color w:val="0000FF"/>
              </w:rPr>
            </w:pPr>
            <w:hyperlink r:id="rId234">
              <w:r>
                <w:rPr>
                  <w:rFonts w:ascii="Arial" w:cs="Arial" w:eastAsia="Arial" w:hAnsi="Arial"/>
                  <w:sz w:val="16"/>
                  <w:szCs w:val="16"/>
                  <w:color w:val="0000FF"/>
                </w:rPr>
                <w:t>Settlement and License Agreement, dated January 17, 2017, between Biogen Swiss Manufacturing GmbH, Biogen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International Holdings ltd., Forward Pharma A/S and other parties thereto. Filed as Exhibit 10.1 to our Current Report</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on Form 8-K filed on February 1, 2017.</w:t>
              </w:r>
            </w:hyperlink>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10.6*</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35">
              <w:r>
                <w:rPr>
                  <w:rFonts w:ascii="Arial" w:cs="Arial" w:eastAsia="Arial" w:hAnsi="Arial"/>
                  <w:sz w:val="16"/>
                  <w:szCs w:val="16"/>
                  <w:color w:val="0000FF"/>
                </w:rPr>
                <w:t>Biogen Inc. 2017 Omnibus Equity Plan. Filed as Appendix B to our Definitive Proxy Statement on Schedule 14A filed</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on April 26, 2017.</w:t>
              </w:r>
            </w:hyperlink>
          </w:p>
        </w:tc>
        <w:tc>
          <w:tcPr>
            <w:tcW w:w="100" w:type="dxa"/>
            <w:vAlign w:val="bottom"/>
            <w:gridSpan w:val="5"/>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94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10.7*</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36">
              <w:r>
                <w:rPr>
                  <w:rFonts w:ascii="Arial" w:cs="Arial" w:eastAsia="Arial" w:hAnsi="Arial"/>
                  <w:sz w:val="16"/>
                  <w:szCs w:val="16"/>
                  <w:color w:val="0000FF"/>
                </w:rPr>
                <w:t>Form of restricted stock unit award agreement under the Biogen Inc. 2017 Omnibus Equity Plan. Filed as Exhibit 10.2</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to our Quarterly Report on Form 10-Q for the quarter ended June 30,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0" w:type="dxa"/>
            <w:vAlign w:val="bottom"/>
            <w:gridSpan w:val="1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10.8*</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37">
              <w:r>
                <w:rPr>
                  <w:rFonts w:ascii="Arial" w:cs="Arial" w:eastAsia="Arial" w:hAnsi="Arial"/>
                  <w:sz w:val="16"/>
                  <w:szCs w:val="16"/>
                  <w:color w:val="0000FF"/>
                </w:rPr>
                <w:t>Form of market stock unit award agreement under the Biogen Inc. 2017 Omnibus Equity Plan. Filed as Exhibit 10.3 to</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our Quarterly Report on Form 10-Q for the quarter ended June 30, 2017.</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0" w:type="dxa"/>
            <w:vAlign w:val="bottom"/>
            <w:gridSpan w:val="1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10.9*</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38">
              <w:r>
                <w:rPr>
                  <w:rFonts w:ascii="Arial" w:cs="Arial" w:eastAsia="Arial" w:hAnsi="Arial"/>
                  <w:sz w:val="16"/>
                  <w:szCs w:val="16"/>
                  <w:color w:val="0000FF"/>
                </w:rPr>
                <w:t>Form of performance unit award agreement under the Biogen Inc. 2017 Omnibus Equity Plan. Filed as Exhibit 10.4 to</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our Quarterly Report on Form 10-Q for the quarter ended June 30, 2017.</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0" w:type="dxa"/>
            <w:vAlign w:val="bottom"/>
            <w:gridSpan w:val="1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10.10*</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39">
              <w:r>
                <w:rPr>
                  <w:rFonts w:ascii="Arial" w:cs="Arial" w:eastAsia="Arial" w:hAnsi="Arial"/>
                  <w:sz w:val="16"/>
                  <w:szCs w:val="16"/>
                  <w:color w:val="0000FF"/>
                </w:rPr>
                <w:t>Form of cash-settled performance unit award agreement under the Biogen Inc. 2017 Omnibus Equity Plan. Filed as</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Exhibit 10.5 to our Quarterly Report on Form 10-Q for the quarter ended June 30, 2017.</w:t>
              </w:r>
            </w:hyperlink>
          </w:p>
        </w:tc>
        <w:tc>
          <w:tcPr>
            <w:tcW w:w="2440" w:type="dxa"/>
            <w:vAlign w:val="bottom"/>
            <w:tcBorders>
              <w:top w:val="single" w:sz="8" w:color="0000FF"/>
            </w:tcBorders>
            <w:gridSpan w:val="11"/>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10.11*</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40">
              <w:r>
                <w:rPr>
                  <w:rFonts w:ascii="Arial" w:cs="Arial" w:eastAsia="Arial" w:hAnsi="Arial"/>
                  <w:sz w:val="16"/>
                  <w:szCs w:val="16"/>
                  <w:color w:val="0000FF"/>
                </w:rPr>
                <w:t>Form of performance stock units award agreement (cash-settled) under the Biogen Inc. 2017 Omnibus Equity Plan.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Filed as Exhibit 10.10 to our Annual Report on Form 10-K for the year ended December 31, 2017.</w:t>
              </w:r>
            </w:hyperlink>
          </w:p>
        </w:tc>
        <w:tc>
          <w:tcPr>
            <w:tcW w:w="1700" w:type="dxa"/>
            <w:vAlign w:val="bottom"/>
            <w:tcBorders>
              <w:top w:val="single" w:sz="8" w:color="0000FF"/>
            </w:tcBorders>
            <w:gridSpan w:val="9"/>
          </w:tcPr>
          <w:p>
            <w:pPr>
              <w:spacing w:after="0"/>
              <w:rPr>
                <w:sz w:val="12"/>
                <w:szCs w:val="12"/>
                <w:color w:val="auto"/>
              </w:rPr>
            </w:pPr>
          </w:p>
        </w:tc>
        <w:tc>
          <w:tcPr>
            <w:tcW w:w="160" w:type="dxa"/>
            <w:vAlign w:val="bottom"/>
            <w:gridSpan w:val="8"/>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10.12*</w:t>
            </w:r>
          </w:p>
        </w:tc>
        <w:tc>
          <w:tcPr>
            <w:tcW w:w="1780" w:type="dxa"/>
            <w:vAlign w:val="bottom"/>
          </w:tcPr>
          <w:p>
            <w:pPr>
              <w:spacing w:after="0"/>
              <w:rPr>
                <w:sz w:val="17"/>
                <w:szCs w:val="17"/>
                <w:color w:val="auto"/>
              </w:rPr>
            </w:pPr>
          </w:p>
        </w:tc>
        <w:tc>
          <w:tcPr>
            <w:tcW w:w="8860" w:type="dxa"/>
            <w:vAlign w:val="bottom"/>
            <w:gridSpan w:val="35"/>
          </w:tcPr>
          <w:p>
            <w:pPr>
              <w:spacing w:after="0"/>
              <w:rPr>
                <w:rFonts w:ascii="Arial" w:cs="Arial" w:eastAsia="Arial" w:hAnsi="Arial"/>
                <w:sz w:val="16"/>
                <w:szCs w:val="16"/>
                <w:color w:val="0000FF"/>
              </w:rPr>
            </w:pPr>
            <w:hyperlink r:id="rId241">
              <w:r>
                <w:rPr>
                  <w:rFonts w:ascii="Arial" w:cs="Arial" w:eastAsia="Arial" w:hAnsi="Arial"/>
                  <w:sz w:val="16"/>
                  <w:szCs w:val="16"/>
                  <w:color w:val="0000FF"/>
                </w:rPr>
                <w:t>Form of performance stock units award agreement under the Biogen Inc. 2017 Omnibus Equity Plan. Filed as Exhibit</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10.</w:t>
              </w:r>
              <w:r>
                <w:rPr>
                  <w:rFonts w:ascii="Arial" w:cs="Arial" w:eastAsia="Arial" w:hAnsi="Arial"/>
                  <w:sz w:val="16"/>
                  <w:szCs w:val="16"/>
                  <w:u w:val="single" w:color="auto"/>
                  <w:color w:val="0000FF"/>
                </w:rPr>
                <w:t>11</w:t>
              </w:r>
              <w:r>
                <w:rPr>
                  <w:rFonts w:ascii="Arial" w:cs="Arial" w:eastAsia="Arial" w:hAnsi="Arial"/>
                  <w:sz w:val="16"/>
                  <w:szCs w:val="16"/>
                  <w:color w:val="0000FF"/>
                </w:rPr>
                <w:t xml:space="preserve"> to our Annual Report on Form 10-K for the year ended December 31, 2017.</w:t>
              </w:r>
            </w:hyperlink>
          </w:p>
        </w:tc>
        <w:tc>
          <w:tcPr>
            <w:tcW w:w="280" w:type="dxa"/>
            <w:vAlign w:val="bottom"/>
            <w:gridSpan w:val="14"/>
          </w:tcPr>
          <w:p>
            <w:pPr>
              <w:spacing w:after="0"/>
              <w:rPr>
                <w:sz w:val="12"/>
                <w:szCs w:val="12"/>
                <w:color w:val="auto"/>
              </w:rPr>
            </w:pPr>
          </w:p>
        </w:tc>
      </w:tr>
      <w:tr>
        <w:trPr>
          <w:trHeight w:val="87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80" w:type="dxa"/>
            <w:vAlign w:val="bottom"/>
            <w:tcBorders>
              <w:top w:val="single" w:sz="8" w:color="0000FF"/>
            </w:tcBorders>
            <w:gridSpan w:val="7"/>
          </w:tcPr>
          <w:p>
            <w:pPr>
              <w:ind w:left="2860"/>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gridSpan w:val="30"/>
          </w:tcPr>
          <w:p>
            <w:pPr>
              <w:ind w:left="26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10.13*</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44">
              <w:r>
                <w:rPr>
                  <w:rFonts w:ascii="Arial" w:cs="Arial" w:eastAsia="Arial" w:hAnsi="Arial"/>
                  <w:sz w:val="16"/>
                  <w:szCs w:val="16"/>
                  <w:color w:val="0000FF"/>
                </w:rPr>
                <w:t>Form of performance stock units award agreement under the Biogen Inc. 2017 Omnibus Equity Plan. Filed as Exhibit</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3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Quarterly Report on Form 10-Q for the quarter ended March 31, 2018.</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10.14*</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45">
              <w:r>
                <w:rPr>
                  <w:rFonts w:ascii="Arial" w:cs="Arial" w:eastAsia="Arial" w:hAnsi="Arial"/>
                  <w:sz w:val="16"/>
                  <w:szCs w:val="16"/>
                  <w:color w:val="0000FF"/>
                </w:rPr>
                <w:t>Form of performance stock units award agreement (cash settled) under the Biogen Inc. 2017 Omnibus Equity Plan.</w:t>
              </w:r>
            </w:hyperlink>
          </w:p>
        </w:tc>
      </w:tr>
      <w:tr>
        <w:trPr>
          <w:trHeight w:val="188"/>
        </w:trPr>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60" w:type="dxa"/>
            <w:vAlign w:val="bottom"/>
            <w:tcBorders>
              <w:top w:val="single" w:sz="8" w:color="0000FF"/>
            </w:tcBorders>
            <w:gridSpan w:val="19"/>
          </w:tcPr>
          <w:p>
            <w:pPr>
              <w:spacing w:after="0"/>
              <w:rPr>
                <w:rFonts w:ascii="Arial" w:cs="Arial" w:eastAsia="Arial" w:hAnsi="Arial"/>
                <w:sz w:val="16"/>
                <w:szCs w:val="16"/>
                <w:u w:val="single" w:color="auto"/>
                <w:color w:val="0000FF"/>
              </w:rPr>
            </w:pPr>
            <w:hyperlink r:id="rId245">
              <w:r>
                <w:rPr>
                  <w:rFonts w:ascii="Arial" w:cs="Arial" w:eastAsia="Arial" w:hAnsi="Arial"/>
                  <w:sz w:val="16"/>
                  <w:szCs w:val="16"/>
                  <w:u w:val="single" w:color="auto"/>
                  <w:color w:val="0000FF"/>
                </w:rPr>
                <w:t>Filed as Exhibit 10.2 to our Quarterly Report on Form 10-Q for the quarter ended March 31, 2018.</w:t>
              </w:r>
            </w:hyperlink>
          </w:p>
        </w:tc>
        <w:tc>
          <w:tcPr>
            <w:tcW w:w="4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860" w:type="dxa"/>
            <w:vAlign w:val="bottom"/>
          </w:tcPr>
          <w:p>
            <w:pPr>
              <w:spacing w:after="0" w:line="170" w:lineRule="exact"/>
              <w:rPr>
                <w:sz w:val="20"/>
                <w:szCs w:val="20"/>
                <w:color w:val="auto"/>
              </w:rPr>
            </w:pPr>
            <w:r>
              <w:rPr>
                <w:rFonts w:ascii="Arial" w:cs="Arial" w:eastAsia="Arial" w:hAnsi="Arial"/>
                <w:sz w:val="16"/>
                <w:szCs w:val="16"/>
                <w:color w:val="auto"/>
              </w:rPr>
              <w:t>10.15*</w:t>
            </w:r>
          </w:p>
        </w:tc>
        <w:tc>
          <w:tcPr>
            <w:tcW w:w="1760" w:type="dxa"/>
            <w:vAlign w:val="bottom"/>
          </w:tcPr>
          <w:p>
            <w:pPr>
              <w:spacing w:after="0"/>
              <w:rPr>
                <w:sz w:val="14"/>
                <w:szCs w:val="14"/>
                <w:color w:val="auto"/>
              </w:rPr>
            </w:pPr>
          </w:p>
        </w:tc>
        <w:tc>
          <w:tcPr>
            <w:tcW w:w="8760" w:type="dxa"/>
            <w:vAlign w:val="bottom"/>
            <w:gridSpan w:val="36"/>
          </w:tcPr>
          <w:p>
            <w:pPr>
              <w:spacing w:after="0" w:line="170" w:lineRule="exact"/>
              <w:rPr>
                <w:rFonts w:ascii="Arial" w:cs="Arial" w:eastAsia="Arial" w:hAnsi="Arial"/>
                <w:sz w:val="16"/>
                <w:szCs w:val="16"/>
                <w:color w:val="0000FF"/>
              </w:rPr>
            </w:pPr>
            <w:hyperlink r:id="rId246">
              <w:r>
                <w:rPr>
                  <w:rFonts w:ascii="Arial" w:cs="Arial" w:eastAsia="Arial" w:hAnsi="Arial"/>
                  <w:sz w:val="16"/>
                  <w:szCs w:val="16"/>
                  <w:color w:val="0000FF"/>
                </w:rPr>
                <w:t>Form of restricted stock unit award agreement (2018 one-time transition grant) under the Biogen Inc. 2017 Omnibus</w:t>
              </w:r>
            </w:hyperlink>
          </w:p>
        </w:tc>
      </w:tr>
      <w:tr>
        <w:trPr>
          <w:trHeight w:val="188"/>
        </w:trPr>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300" w:type="dxa"/>
            <w:vAlign w:val="bottom"/>
            <w:tcBorders>
              <w:top w:val="single" w:sz="8" w:color="0000FF"/>
            </w:tcBorders>
            <w:gridSpan w:val="20"/>
          </w:tcPr>
          <w:p>
            <w:pPr>
              <w:spacing w:after="0"/>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Equity Plan. Filed as Exhibit 10.3 to our Quarterly Report on Form 10-Q for the quarter ended March 31, 2018.</w:t>
              </w:r>
            </w:hyperlink>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860" w:type="dxa"/>
            <w:vAlign w:val="bottom"/>
          </w:tcPr>
          <w:p>
            <w:pPr>
              <w:spacing w:after="0" w:line="170" w:lineRule="exact"/>
              <w:rPr>
                <w:sz w:val="20"/>
                <w:szCs w:val="20"/>
                <w:color w:val="auto"/>
              </w:rPr>
            </w:pPr>
            <w:r>
              <w:rPr>
                <w:rFonts w:ascii="Arial" w:cs="Arial" w:eastAsia="Arial" w:hAnsi="Arial"/>
                <w:sz w:val="16"/>
                <w:szCs w:val="16"/>
                <w:color w:val="auto"/>
              </w:rPr>
              <w:t>10.16*</w:t>
            </w:r>
          </w:p>
        </w:tc>
        <w:tc>
          <w:tcPr>
            <w:tcW w:w="1760" w:type="dxa"/>
            <w:vAlign w:val="bottom"/>
          </w:tcPr>
          <w:p>
            <w:pPr>
              <w:spacing w:after="0"/>
              <w:rPr>
                <w:sz w:val="14"/>
                <w:szCs w:val="14"/>
                <w:color w:val="auto"/>
              </w:rPr>
            </w:pPr>
          </w:p>
        </w:tc>
        <w:tc>
          <w:tcPr>
            <w:tcW w:w="8760" w:type="dxa"/>
            <w:vAlign w:val="bottom"/>
            <w:gridSpan w:val="36"/>
          </w:tcPr>
          <w:p>
            <w:pPr>
              <w:spacing w:after="0" w:line="170" w:lineRule="exact"/>
              <w:rPr>
                <w:rFonts w:ascii="Arial" w:cs="Arial" w:eastAsia="Arial" w:hAnsi="Arial"/>
                <w:sz w:val="16"/>
                <w:szCs w:val="16"/>
                <w:color w:val="0000FF"/>
              </w:rPr>
            </w:pPr>
            <w:hyperlink r:id="rId247">
              <w:r>
                <w:rPr>
                  <w:rFonts w:ascii="Arial" w:cs="Arial" w:eastAsia="Arial" w:hAnsi="Arial"/>
                  <w:sz w:val="16"/>
                  <w:szCs w:val="16"/>
                  <w:color w:val="0000FF"/>
                </w:rPr>
                <w:t>Form of market stock unit award agreement under the Biogen Inc. 2017 Omnibus Equity Plan (for grants commencing</w:t>
              </w:r>
            </w:hyperlink>
          </w:p>
        </w:tc>
      </w:tr>
      <w:tr>
        <w:trPr>
          <w:trHeight w:val="188"/>
        </w:trPr>
        <w:tc>
          <w:tcPr>
            <w:tcW w:w="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440" w:type="dxa"/>
            <w:vAlign w:val="bottom"/>
            <w:tcBorders>
              <w:top w:val="single" w:sz="8" w:color="0000FF"/>
            </w:tcBorders>
            <w:gridSpan w:val="23"/>
          </w:tcPr>
          <w:p>
            <w:pPr>
              <w:spacing w:after="0"/>
              <w:rPr>
                <w:rFonts w:ascii="Arial" w:cs="Arial" w:eastAsia="Arial" w:hAnsi="Arial"/>
                <w:sz w:val="16"/>
                <w:szCs w:val="16"/>
                <w:u w:val="single" w:color="auto"/>
                <w:color w:val="0000FF"/>
              </w:rPr>
            </w:pPr>
            <w:hyperlink r:id="rId247">
              <w:r>
                <w:rPr>
                  <w:rFonts w:ascii="Arial" w:cs="Arial" w:eastAsia="Arial" w:hAnsi="Arial"/>
                  <w:sz w:val="16"/>
                  <w:szCs w:val="16"/>
                  <w:u w:val="single" w:color="auto"/>
                  <w:color w:val="0000FF"/>
                </w:rPr>
                <w:t>in July 2019). Filed as Exhibit 10.1 to our Quarterly Report on Form 10-Q for the quarter ended June 30, 2019.</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860" w:type="dxa"/>
            <w:vAlign w:val="bottom"/>
          </w:tcPr>
          <w:p>
            <w:pPr>
              <w:spacing w:after="0" w:line="170" w:lineRule="exact"/>
              <w:rPr>
                <w:sz w:val="20"/>
                <w:szCs w:val="20"/>
                <w:color w:val="auto"/>
              </w:rPr>
            </w:pPr>
            <w:r>
              <w:rPr>
                <w:rFonts w:ascii="Arial" w:cs="Arial" w:eastAsia="Arial" w:hAnsi="Arial"/>
                <w:sz w:val="16"/>
                <w:szCs w:val="16"/>
                <w:color w:val="auto"/>
              </w:rPr>
              <w:t>10.17*</w:t>
            </w:r>
          </w:p>
        </w:tc>
        <w:tc>
          <w:tcPr>
            <w:tcW w:w="1760" w:type="dxa"/>
            <w:vAlign w:val="bottom"/>
          </w:tcPr>
          <w:p>
            <w:pPr>
              <w:spacing w:after="0"/>
              <w:rPr>
                <w:sz w:val="14"/>
                <w:szCs w:val="14"/>
                <w:color w:val="auto"/>
              </w:rPr>
            </w:pPr>
          </w:p>
        </w:tc>
        <w:tc>
          <w:tcPr>
            <w:tcW w:w="8760" w:type="dxa"/>
            <w:vAlign w:val="bottom"/>
            <w:gridSpan w:val="36"/>
          </w:tcPr>
          <w:p>
            <w:pPr>
              <w:spacing w:after="0" w:line="170" w:lineRule="exact"/>
              <w:rPr>
                <w:rFonts w:ascii="Arial" w:cs="Arial" w:eastAsia="Arial" w:hAnsi="Arial"/>
                <w:sz w:val="16"/>
                <w:szCs w:val="16"/>
                <w:color w:val="0000FF"/>
              </w:rPr>
            </w:pPr>
            <w:hyperlink r:id="rId248">
              <w:r>
                <w:rPr>
                  <w:rFonts w:ascii="Arial" w:cs="Arial" w:eastAsia="Arial" w:hAnsi="Arial"/>
                  <w:sz w:val="16"/>
                  <w:szCs w:val="16"/>
                  <w:color w:val="0000FF"/>
                </w:rPr>
                <w:t>Form of performance stock units award agreement under the Biogen Inc. 2017 Omnibus Equity Plan (for grants</w:t>
              </w:r>
            </w:hyperlink>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760" w:type="dxa"/>
            <w:vAlign w:val="bottom"/>
            <w:gridSpan w:val="36"/>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commencing in July 2019). Filed as Exhibit 10.2 to our Quarterly Report on Form 10-Q for the quarter ended June 30,</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248">
              <w:r>
                <w:rPr>
                  <w:rFonts w:ascii="Arial" w:cs="Arial" w:eastAsia="Arial" w:hAnsi="Arial"/>
                  <w:sz w:val="16"/>
                  <w:szCs w:val="16"/>
                  <w:color w:val="0000FF"/>
                  <w:w w:val="99"/>
                </w:rPr>
                <w:t>2019.</w:t>
              </w:r>
            </w:hyperlink>
          </w:p>
        </w:tc>
        <w:tc>
          <w:tcPr>
            <w:tcW w:w="6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10.18*</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49">
              <w:r>
                <w:rPr>
                  <w:rFonts w:ascii="Arial" w:cs="Arial" w:eastAsia="Arial" w:hAnsi="Arial"/>
                  <w:sz w:val="16"/>
                  <w:szCs w:val="16"/>
                  <w:color w:val="0000FF"/>
                </w:rPr>
                <w:t>Form of performance stock units award agreement (cash settled) under the Biogen Inc. 2017 Omnibus Equity Plan (for</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grants commencing in July 2019). Filed as Exhibit 10.3 to our Quarterly Report on Form 10-Q for the quarter ended</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June 30, 2019.</w:t>
              </w:r>
            </w:hyperlink>
          </w:p>
        </w:tc>
        <w:tc>
          <w:tcPr>
            <w:tcW w:w="7160" w:type="dxa"/>
            <w:vAlign w:val="bottom"/>
            <w:tcBorders>
              <w:top w:val="single" w:sz="8" w:color="0000FF"/>
            </w:tcBorders>
            <w:gridSpan w:val="16"/>
          </w:tcPr>
          <w:p>
            <w:pPr>
              <w:spacing w:after="0"/>
              <w:rPr>
                <w:sz w:val="12"/>
                <w:szCs w:val="12"/>
                <w:color w:val="auto"/>
              </w:rPr>
            </w:pPr>
          </w:p>
        </w:tc>
        <w:tc>
          <w:tcPr>
            <w:tcW w:w="30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10.19*</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0">
              <w:r>
                <w:rPr>
                  <w:rFonts w:ascii="Arial" w:cs="Arial" w:eastAsia="Arial" w:hAnsi="Arial"/>
                  <w:sz w:val="16"/>
                  <w:szCs w:val="16"/>
                  <w:color w:val="0000FF"/>
                </w:rPr>
                <w:t>Biogen Idec Inc. 2008 Amended and Restated Omnibus Equity Plan. Filed as Exhibit 10.1 to our Quarterly Report on</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7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Form 10-Q for the quarter ended March 31, 2014.</w:t>
              </w:r>
            </w:hyperlink>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10.20*</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1">
              <w:r>
                <w:rPr>
                  <w:rFonts w:ascii="Arial" w:cs="Arial" w:eastAsia="Arial" w:hAnsi="Arial"/>
                  <w:sz w:val="16"/>
                  <w:szCs w:val="16"/>
                  <w:color w:val="0000FF"/>
                </w:rPr>
                <w:t>Form of performance unit award agreement under the Biogen Idec Inc. 2008 Omnibus Equity Plan. Filed as Exhibit</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7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Quarterly Report on Form 10-Q for the quarter ended March 31,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10.21*</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2">
              <w:r>
                <w:rPr>
                  <w:rFonts w:ascii="Arial" w:cs="Arial" w:eastAsia="Arial" w:hAnsi="Arial"/>
                  <w:sz w:val="16"/>
                  <w:szCs w:val="16"/>
                  <w:color w:val="0000FF"/>
                </w:rPr>
                <w:t>Form of market stock unit award agreement under the Biogen Idec Inc. 2008 Omnibus Equity Plan. Filed as Exhibit</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our Quarterly Report on Form 10-Q for the quarter ended March 31,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10.22*</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3">
              <w:r>
                <w:rPr>
                  <w:rFonts w:ascii="Arial" w:cs="Arial" w:eastAsia="Arial" w:hAnsi="Arial"/>
                  <w:sz w:val="16"/>
                  <w:szCs w:val="16"/>
                  <w:color w:val="0000FF"/>
                </w:rPr>
                <w:t>Form of restricted stock unit award agreement under the Biogen Idec Inc. 2008 Omnibus Equity Plan. Filed as Exhibit</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August 1,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10.23*</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4">
              <w:r>
                <w:rPr>
                  <w:rFonts w:ascii="Arial" w:cs="Arial" w:eastAsia="Arial" w:hAnsi="Arial"/>
                  <w:sz w:val="16"/>
                  <w:szCs w:val="16"/>
                  <w:color w:val="0000FF"/>
                </w:rPr>
                <w:t>Form of nonqualified stock option award agreement under the Biogen Idec Inc. 2008 Omnibus Equity Plan. Filed as</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1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Exhibit 10.2 to our Current Report on Form 8-K filed on August 1, 2008.</w:t>
              </w:r>
            </w:hyperlink>
          </w:p>
        </w:tc>
        <w:tc>
          <w:tcPr>
            <w:tcW w:w="35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10.24*</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5">
              <w:r>
                <w:rPr>
                  <w:rFonts w:ascii="Arial" w:cs="Arial" w:eastAsia="Arial" w:hAnsi="Arial"/>
                  <w:sz w:val="16"/>
                  <w:szCs w:val="16"/>
                  <w:color w:val="0000FF"/>
                </w:rPr>
                <w:t>Form of cash-settled performance shares award agreement under the Biogen Idec Inc. 2008 Omnibus Equity Plan.</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Filed as Exhibit 10.1 to our Quarterly Report on Form 10-Q for the quarter ended March 31, 2010.</w:t>
              </w:r>
            </w:hyperlink>
          </w:p>
        </w:tc>
        <w:tc>
          <w:tcPr>
            <w:tcW w:w="170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10.25*</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6">
              <w:r>
                <w:rPr>
                  <w:rFonts w:ascii="Arial" w:cs="Arial" w:eastAsia="Arial" w:hAnsi="Arial"/>
                  <w:sz w:val="16"/>
                  <w:szCs w:val="16"/>
                  <w:color w:val="0000FF"/>
                </w:rPr>
                <w:t>Biogen Inc. 2006 Non-Employee Directors Equity Plan, as amended. Filed as Exhibit 10.1 to our Quarterly Report on</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7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Form 10-Q for the quarter ended March 31, 2015.</w:t>
              </w:r>
            </w:hyperlink>
          </w:p>
        </w:tc>
        <w:tc>
          <w:tcPr>
            <w:tcW w:w="40" w:type="dxa"/>
            <w:vAlign w:val="bottom"/>
            <w:gridSpan w:val="2"/>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10.26*</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7">
              <w:r>
                <w:rPr>
                  <w:rFonts w:ascii="Arial" w:cs="Arial" w:eastAsia="Arial" w:hAnsi="Arial"/>
                  <w:sz w:val="16"/>
                  <w:szCs w:val="16"/>
                  <w:color w:val="0000FF"/>
                </w:rPr>
                <w:t>Biogen Inc. 2015 Employee Stock Purchase Plan. Filed as Appendix A to our Definitive Proxy Statement on Schedule</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14A filed on April 30, 2015.</w:t>
              </w:r>
            </w:hyperlink>
          </w:p>
        </w:tc>
        <w:tc>
          <w:tcPr>
            <w:tcW w:w="66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10.27*</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8">
              <w:r>
                <w:rPr>
                  <w:rFonts w:ascii="Arial" w:cs="Arial" w:eastAsia="Arial" w:hAnsi="Arial"/>
                  <w:sz w:val="16"/>
                  <w:szCs w:val="16"/>
                  <w:color w:val="0000FF"/>
                </w:rPr>
                <w:t>Biogen Idec Inc. 2008 Performance-Based Management Incentive Plan. Filed as Appendix B to our Definitive Proxy</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Statement on Schedule 14A filed on May 8, 2008.</w:t>
              </w:r>
            </w:hyperlink>
          </w:p>
        </w:tc>
        <w:tc>
          <w:tcPr>
            <w:tcW w:w="5140" w:type="dxa"/>
            <w:vAlign w:val="bottom"/>
            <w:tcBorders>
              <w:top w:val="single" w:sz="8" w:color="0000FF"/>
            </w:tcBorders>
            <w:gridSpan w:val="2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10.28*</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59">
              <w:r>
                <w:rPr>
                  <w:rFonts w:ascii="Arial" w:cs="Arial" w:eastAsia="Arial" w:hAnsi="Arial"/>
                  <w:sz w:val="16"/>
                  <w:szCs w:val="16"/>
                  <w:color w:val="0000FF"/>
                </w:rPr>
                <w:t>Biogen Inc. 2019 Form of Performance-Based Management Incentive Plan. Filed as Exhibit 10.1 to our Quarterly</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Report on Form 10-Q for the quarter ended March 31, 2019.</w:t>
              </w:r>
            </w:hyperlink>
          </w:p>
        </w:tc>
        <w:tc>
          <w:tcPr>
            <w:tcW w:w="4380" w:type="dxa"/>
            <w:vAlign w:val="bottom"/>
            <w:tcBorders>
              <w:top w:val="single" w:sz="8" w:color="0000FF"/>
            </w:tcBorders>
            <w:gridSpan w:val="25"/>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10.29*</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60">
              <w:r>
                <w:rPr>
                  <w:rFonts w:ascii="Arial" w:cs="Arial" w:eastAsia="Arial" w:hAnsi="Arial"/>
                  <w:sz w:val="16"/>
                  <w:szCs w:val="16"/>
                  <w:color w:val="0000FF"/>
                </w:rPr>
                <w:t>Biogen Idec Inc. Voluntary Executive Supplemental Savings Plan, as amended and restated effective January 1, 2004.</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Filed as Exhibit 10.13 to our Annual Report on Form 10-K for the year ended December 31, 2003.</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10.30*</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61">
              <w:r>
                <w:rPr>
                  <w:rFonts w:ascii="Arial" w:cs="Arial" w:eastAsia="Arial" w:hAnsi="Arial"/>
                  <w:sz w:val="16"/>
                  <w:szCs w:val="16"/>
                  <w:color w:val="0000FF"/>
                </w:rPr>
                <w:t>Biogen Idec Inc. Supplemental Savings Plan, as amended. Filed as Exhibit 10.23 to our Annual Report on Form 10-K</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for the year ended December 31, 2015.</w:t>
              </w:r>
            </w:hyperlink>
          </w:p>
        </w:tc>
        <w:tc>
          <w:tcPr>
            <w:tcW w:w="5800" w:type="dxa"/>
            <w:vAlign w:val="bottom"/>
            <w:tcBorders>
              <w:top w:val="single" w:sz="8" w:color="0000FF"/>
            </w:tcBorders>
            <w:gridSpan w:val="26"/>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10.31*</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62">
              <w:r>
                <w:rPr>
                  <w:rFonts w:ascii="Arial" w:cs="Arial" w:eastAsia="Arial" w:hAnsi="Arial"/>
                  <w:sz w:val="16"/>
                  <w:szCs w:val="16"/>
                  <w:color w:val="0000FF"/>
                </w:rPr>
                <w:t>Biogen Idec Inc. Voluntary Board of Directors Savings Plan, as amended. Filed as Exhibit 10.24 to our Annual Report</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on Form 10-K for the year ended December 31, 2015.</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60" w:type="dxa"/>
            <w:vAlign w:val="bottom"/>
            <w:tcBorders>
              <w:right w:val="single" w:sz="8" w:color="0000FF"/>
            </w:tcBorders>
            <w:gridSpan w:val="7"/>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10.32*</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63">
              <w:r>
                <w:rPr>
                  <w:rFonts w:ascii="Arial" w:cs="Arial" w:eastAsia="Arial" w:hAnsi="Arial"/>
                  <w:sz w:val="16"/>
                  <w:szCs w:val="16"/>
                  <w:color w:val="0000FF"/>
                </w:rPr>
                <w:t>Biogen Inc. Executive Severance Policy - U.S. Executive Vice President, as amended effective June 19, 2019. Filed as</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Exhibit 10.4 to our Quarterly Report on Form 10-Q for the quarter ended June 30, 2019.</w:t>
              </w:r>
            </w:hyperlink>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60" w:type="dxa"/>
            <w:vAlign w:val="bottom"/>
            <w:gridSpan w:val="10"/>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10.33*</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64">
              <w:r>
                <w:rPr>
                  <w:rFonts w:ascii="Arial" w:cs="Arial" w:eastAsia="Arial" w:hAnsi="Arial"/>
                  <w:sz w:val="16"/>
                  <w:szCs w:val="16"/>
                  <w:u w:val="single" w:color="auto"/>
                  <w:color w:val="0000FF"/>
                </w:rPr>
                <w:t>Biogen Inc. Executive Severance Policy - U.S. Executive Vice President, as</w:t>
              </w:r>
              <w:r>
                <w:rPr>
                  <w:rFonts w:ascii="Arial" w:cs="Arial" w:eastAsia="Arial" w:hAnsi="Arial"/>
                  <w:sz w:val="16"/>
                  <w:szCs w:val="16"/>
                  <w:color w:val="0000FF"/>
                </w:rPr>
                <w:t xml:space="preserve"> amended </w:t>
              </w:r>
              <w:r>
                <w:rPr>
                  <w:rFonts w:ascii="Arial" w:cs="Arial" w:eastAsia="Arial" w:hAnsi="Arial"/>
                  <w:sz w:val="16"/>
                  <w:szCs w:val="16"/>
                  <w:u w:val="single" w:color="auto"/>
                  <w:color w:val="0000FF"/>
                </w:rPr>
                <w:t>effective July 13, 2020.</w:t>
              </w:r>
              <w:r>
                <w:rPr>
                  <w:rFonts w:ascii="Arial" w:cs="Arial" w:eastAsia="Arial" w:hAnsi="Arial"/>
                  <w:sz w:val="16"/>
                  <w:szCs w:val="16"/>
                  <w:color w:val="0000FF"/>
                </w:rPr>
                <w:t xml:space="preserve"> Filed as</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80" w:type="dxa"/>
            <w:vAlign w:val="bottom"/>
            <w:gridSpan w:val="16"/>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 xml:space="preserve">Exhibit 10.1 to our Quarterly Report on Form 10-Q for the quarter ended </w:t>
              </w:r>
              <w:r>
                <w:rPr>
                  <w:rFonts w:ascii="Arial" w:cs="Arial" w:eastAsia="Arial" w:hAnsi="Arial"/>
                  <w:sz w:val="16"/>
                  <w:szCs w:val="16"/>
                  <w:u w:val="single" w:color="auto"/>
                  <w:color w:val="0000FF"/>
                </w:rPr>
                <w:t>September 30, 2020.</w:t>
              </w:r>
            </w:hyperlink>
          </w:p>
        </w:tc>
        <w:tc>
          <w:tcPr>
            <w:tcW w:w="700" w:type="dxa"/>
            <w:vAlign w:val="bottom"/>
            <w:tcBorders>
              <w:top w:val="single" w:sz="8" w:color="0000FF"/>
            </w:tcBorders>
            <w:gridSpan w:val="11"/>
          </w:tcPr>
          <w:p>
            <w:pPr>
              <w:spacing w:after="0"/>
              <w:rPr>
                <w:sz w:val="12"/>
                <w:szCs w:val="12"/>
                <w:color w:val="auto"/>
              </w:rPr>
            </w:pPr>
          </w:p>
        </w:tc>
        <w:tc>
          <w:tcPr>
            <w:tcW w:w="100" w:type="dxa"/>
            <w:vAlign w:val="bottom"/>
            <w:tcBorders>
              <w:top w:val="single" w:sz="8" w:color="0000FF"/>
            </w:tcBorders>
            <w:gridSpan w:val="5"/>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60" w:type="dxa"/>
            <w:vAlign w:val="bottom"/>
            <w:gridSpan w:val="10"/>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380" w:type="dxa"/>
            <w:vAlign w:val="bottom"/>
            <w:gridSpan w:val="1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10.34*</w:t>
            </w:r>
          </w:p>
        </w:tc>
        <w:tc>
          <w:tcPr>
            <w:tcW w:w="1760" w:type="dxa"/>
            <w:vAlign w:val="bottom"/>
          </w:tcPr>
          <w:p>
            <w:pPr>
              <w:spacing w:after="0"/>
              <w:rPr>
                <w:sz w:val="17"/>
                <w:szCs w:val="17"/>
                <w:color w:val="auto"/>
              </w:rPr>
            </w:pPr>
          </w:p>
        </w:tc>
        <w:tc>
          <w:tcPr>
            <w:tcW w:w="8760" w:type="dxa"/>
            <w:vAlign w:val="bottom"/>
            <w:gridSpan w:val="36"/>
          </w:tcPr>
          <w:p>
            <w:pPr>
              <w:spacing w:after="0"/>
              <w:rPr>
                <w:rFonts w:ascii="Arial" w:cs="Arial" w:eastAsia="Arial" w:hAnsi="Arial"/>
                <w:sz w:val="16"/>
                <w:szCs w:val="16"/>
                <w:color w:val="0000FF"/>
              </w:rPr>
            </w:pPr>
            <w:hyperlink r:id="rId265">
              <w:r>
                <w:rPr>
                  <w:rFonts w:ascii="Arial" w:cs="Arial" w:eastAsia="Arial" w:hAnsi="Arial"/>
                  <w:sz w:val="16"/>
                  <w:szCs w:val="16"/>
                  <w:color w:val="0000FF"/>
                </w:rPr>
                <w:t>Annual Retainer Summary for Board of Directors (effective January 1, 2020). Filed as Exhibit 10.1 to our Quarterly</w:t>
              </w:r>
            </w:hyperlink>
          </w:p>
        </w:tc>
      </w:tr>
      <w:tr>
        <w:trPr>
          <w:trHeight w:val="142"/>
        </w:trPr>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5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Report on Form 10-Q for the quarter ended September 30, 2019.</w:t>
              </w:r>
            </w:hyperlink>
          </w:p>
        </w:tc>
        <w:tc>
          <w:tcPr>
            <w:tcW w:w="180" w:type="dxa"/>
            <w:vAlign w:val="bottom"/>
            <w:gridSpan w:val="9"/>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gridSpan w:val="14"/>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10.35*</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67">
              <w:r>
                <w:rPr>
                  <w:rFonts w:ascii="Arial" w:cs="Arial" w:eastAsia="Arial" w:hAnsi="Arial"/>
                  <w:sz w:val="16"/>
                  <w:szCs w:val="16"/>
                  <w:color w:val="0000FF"/>
                </w:rPr>
                <w:t>Form of indemnification agreement for directors and executive officers. Filed as Exhibit 10.1 to our Current Report on</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Form 8-K filed on June 7, 2011.</w:t>
              </w:r>
            </w:hyperlink>
          </w:p>
        </w:tc>
        <w:tc>
          <w:tcPr>
            <w:tcW w:w="63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10.36*</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68">
              <w:r>
                <w:rPr>
                  <w:rFonts w:ascii="Arial" w:cs="Arial" w:eastAsia="Arial" w:hAnsi="Arial"/>
                  <w:sz w:val="16"/>
                  <w:szCs w:val="16"/>
                  <w:color w:val="0000FF"/>
                </w:rPr>
                <w:t>Employment Agreement between Biogen Inc. and Michel Vounatsos dated December 18, 2016 and effective as of</w:t>
              </w:r>
            </w:hyperlink>
          </w:p>
        </w:tc>
      </w:tr>
      <w:tr>
        <w:trPr>
          <w:trHeight w:val="188"/>
        </w:trPr>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780" w:type="dxa"/>
            <w:vAlign w:val="bottom"/>
            <w:tcBorders>
              <w:top w:val="single" w:sz="8" w:color="0000FF"/>
            </w:tcBorders>
            <w:gridSpan w:val="16"/>
          </w:tcPr>
          <w:p>
            <w:pPr>
              <w:spacing w:after="0"/>
              <w:rPr>
                <w:rFonts w:ascii="Arial" w:cs="Arial" w:eastAsia="Arial" w:hAnsi="Arial"/>
                <w:sz w:val="16"/>
                <w:szCs w:val="16"/>
                <w:u w:val="single" w:color="auto"/>
                <w:color w:val="0000FF"/>
              </w:rPr>
            </w:pPr>
            <w:hyperlink r:id="rId268">
              <w:r>
                <w:rPr>
                  <w:rFonts w:ascii="Arial" w:cs="Arial" w:eastAsia="Arial" w:hAnsi="Arial"/>
                  <w:sz w:val="16"/>
                  <w:szCs w:val="16"/>
                  <w:u w:val="single" w:color="auto"/>
                  <w:color w:val="0000FF"/>
                </w:rPr>
                <w:t>January 6, 2017. Filed as Exhibit 10.1 to our Current Report on Form 8-K filed on December 19, 2016.</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860" w:type="dxa"/>
            <w:vAlign w:val="bottom"/>
          </w:tcPr>
          <w:p>
            <w:pPr>
              <w:spacing w:after="0" w:line="170" w:lineRule="exact"/>
              <w:rPr>
                <w:sz w:val="20"/>
                <w:szCs w:val="20"/>
                <w:color w:val="auto"/>
              </w:rPr>
            </w:pPr>
            <w:r>
              <w:rPr>
                <w:rFonts w:ascii="Arial" w:cs="Arial" w:eastAsia="Arial" w:hAnsi="Arial"/>
                <w:sz w:val="16"/>
                <w:szCs w:val="16"/>
                <w:color w:val="auto"/>
              </w:rPr>
              <w:t>10.37*</w:t>
            </w:r>
          </w:p>
        </w:tc>
        <w:tc>
          <w:tcPr>
            <w:tcW w:w="1680" w:type="dxa"/>
            <w:vAlign w:val="bottom"/>
          </w:tcPr>
          <w:p>
            <w:pPr>
              <w:spacing w:after="0"/>
              <w:rPr>
                <w:sz w:val="14"/>
                <w:szCs w:val="14"/>
                <w:color w:val="auto"/>
              </w:rPr>
            </w:pPr>
          </w:p>
        </w:tc>
        <w:tc>
          <w:tcPr>
            <w:tcW w:w="8820" w:type="dxa"/>
            <w:vAlign w:val="bottom"/>
            <w:gridSpan w:val="18"/>
          </w:tcPr>
          <w:p>
            <w:pPr>
              <w:spacing w:after="0" w:line="170" w:lineRule="exact"/>
              <w:rPr>
                <w:rFonts w:ascii="Arial" w:cs="Arial" w:eastAsia="Arial" w:hAnsi="Arial"/>
                <w:sz w:val="16"/>
                <w:szCs w:val="16"/>
                <w:color w:val="0000FF"/>
              </w:rPr>
            </w:pPr>
            <w:hyperlink r:id="rId269">
              <w:r>
                <w:rPr>
                  <w:rFonts w:ascii="Arial" w:cs="Arial" w:eastAsia="Arial" w:hAnsi="Arial"/>
                  <w:sz w:val="16"/>
                  <w:szCs w:val="16"/>
                  <w:color w:val="0000FF"/>
                </w:rPr>
                <w:t>Letter regarding employment arrangement of Michael McDonnell dated July 16, 2020. Filed as Exhibit 10.2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 xml:space="preserve">Quarterly Report on Form 10-Q for the quarter ended </w:t>
              </w:r>
              <w:r>
                <w:rPr>
                  <w:rFonts w:ascii="Arial" w:cs="Arial" w:eastAsia="Arial" w:hAnsi="Arial"/>
                  <w:sz w:val="16"/>
                  <w:szCs w:val="16"/>
                  <w:u w:val="single" w:color="auto"/>
                  <w:color w:val="0000FF"/>
                </w:rPr>
                <w:t>September 30,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10.38*</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70">
              <w:r>
                <w:rPr>
                  <w:rFonts w:ascii="Arial" w:cs="Arial" w:eastAsia="Arial" w:hAnsi="Arial"/>
                  <w:sz w:val="16"/>
                  <w:szCs w:val="16"/>
                  <w:color w:val="0000FF"/>
                </w:rPr>
                <w:t>Letter regarding employment arrangement of Susan Alexander dated December 13, 2005. Filed as Exhibit 10.58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Annual Report on Form 10-K for the year ended December 31, 2009.</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10.39*</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71">
              <w:r>
                <w:rPr>
                  <w:rFonts w:ascii="Arial" w:cs="Arial" w:eastAsia="Arial" w:hAnsi="Arial"/>
                  <w:sz w:val="16"/>
                  <w:szCs w:val="16"/>
                  <w:color w:val="0000FF"/>
                </w:rPr>
                <w:t>Letter regarding employment arrangement of Alfred W. Sandrock, Jr. dated May 7, 2013. Filed as Exhibit 10.1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7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Quarterly Report on Form 10-Q for the quarter ended June 30, 2013.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10.40*</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72">
              <w:r>
                <w:rPr>
                  <w:rFonts w:ascii="Arial" w:cs="Arial" w:eastAsia="Arial" w:hAnsi="Arial"/>
                  <w:sz w:val="16"/>
                  <w:szCs w:val="16"/>
                  <w:color w:val="0000FF"/>
                </w:rPr>
                <w:t>Letter regarding employment arrangement of Alfred Sandrock dated October 19, 2015. Filed as Exhibit 10.37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7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72">
              <w:r>
                <w:rPr>
                  <w:rFonts w:ascii="Arial" w:cs="Arial" w:eastAsia="Arial" w:hAnsi="Arial"/>
                  <w:sz w:val="16"/>
                  <w:szCs w:val="16"/>
                  <w:color w:val="0000FF"/>
                </w:rPr>
                <w:t>Annual Report on Form 10-K for the year ended December 31, 2015.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860" w:type="dxa"/>
            <w:vAlign w:val="bottom"/>
          </w:tcPr>
          <w:p>
            <w:pPr>
              <w:spacing w:after="0"/>
              <w:rPr>
                <w:sz w:val="20"/>
                <w:szCs w:val="20"/>
                <w:color w:val="auto"/>
              </w:rPr>
            </w:pPr>
            <w:r>
              <w:rPr>
                <w:rFonts w:ascii="Arial" w:cs="Arial" w:eastAsia="Arial" w:hAnsi="Arial"/>
                <w:sz w:val="16"/>
                <w:szCs w:val="16"/>
                <w:color w:val="auto"/>
              </w:rPr>
              <w:t>10.41*+</w:t>
            </w:r>
          </w:p>
        </w:tc>
        <w:tc>
          <w:tcPr>
            <w:tcW w:w="1680" w:type="dxa"/>
            <w:vAlign w:val="bottom"/>
          </w:tcPr>
          <w:p>
            <w:pPr>
              <w:spacing w:after="0"/>
              <w:rPr>
                <w:sz w:val="20"/>
                <w:szCs w:val="20"/>
                <w:color w:val="auto"/>
              </w:rPr>
            </w:pPr>
          </w:p>
        </w:tc>
        <w:tc>
          <w:tcPr>
            <w:tcW w:w="8820" w:type="dxa"/>
            <w:vAlign w:val="bottom"/>
            <w:gridSpan w:val="18"/>
          </w:tcPr>
          <w:p>
            <w:pPr>
              <w:spacing w:after="0"/>
              <w:rPr>
                <w:rFonts w:ascii="Arial" w:cs="Arial" w:eastAsia="Arial" w:hAnsi="Arial"/>
                <w:sz w:val="16"/>
                <w:szCs w:val="16"/>
                <w:u w:val="single" w:color="auto"/>
                <w:color w:val="0000FF"/>
              </w:rPr>
            </w:pPr>
            <w:hyperlink w:anchor="page203">
              <w:r>
                <w:rPr>
                  <w:rFonts w:ascii="Arial" w:cs="Arial" w:eastAsia="Arial" w:hAnsi="Arial"/>
                  <w:sz w:val="16"/>
                  <w:szCs w:val="16"/>
                  <w:u w:val="single" w:color="auto"/>
                  <w:color w:val="0000FF"/>
                </w:rPr>
                <w:t>Letter regarding employment arrangement of Chirfi Guindo dated October 12, 2017.</w:t>
              </w:r>
            </w:hyperlink>
          </w:p>
        </w:tc>
      </w:tr>
      <w:tr>
        <w:trPr>
          <w:trHeight w:val="181"/>
        </w:trPr>
        <w:tc>
          <w:tcPr>
            <w:tcW w:w="860" w:type="dxa"/>
            <w:vAlign w:val="bottom"/>
          </w:tcPr>
          <w:p>
            <w:pPr>
              <w:spacing w:after="0" w:line="181" w:lineRule="exact"/>
              <w:rPr>
                <w:sz w:val="20"/>
                <w:szCs w:val="20"/>
                <w:color w:val="auto"/>
              </w:rPr>
            </w:pPr>
            <w:r>
              <w:rPr>
                <w:rFonts w:ascii="Arial" w:cs="Arial" w:eastAsia="Arial" w:hAnsi="Arial"/>
                <w:sz w:val="16"/>
                <w:szCs w:val="16"/>
                <w:color w:val="auto"/>
              </w:rPr>
              <w:t>10.42*</w:t>
            </w:r>
          </w:p>
        </w:tc>
        <w:tc>
          <w:tcPr>
            <w:tcW w:w="1680" w:type="dxa"/>
            <w:vAlign w:val="bottom"/>
          </w:tcPr>
          <w:p>
            <w:pPr>
              <w:spacing w:after="0"/>
              <w:rPr>
                <w:sz w:val="15"/>
                <w:szCs w:val="15"/>
                <w:color w:val="auto"/>
              </w:rPr>
            </w:pPr>
          </w:p>
        </w:tc>
        <w:tc>
          <w:tcPr>
            <w:tcW w:w="8820" w:type="dxa"/>
            <w:vAlign w:val="bottom"/>
            <w:gridSpan w:val="18"/>
          </w:tcPr>
          <w:p>
            <w:pPr>
              <w:spacing w:after="0" w:line="181" w:lineRule="exact"/>
              <w:rPr>
                <w:rFonts w:ascii="Arial" w:cs="Arial" w:eastAsia="Arial" w:hAnsi="Arial"/>
                <w:sz w:val="16"/>
                <w:szCs w:val="16"/>
                <w:color w:val="0000FF"/>
              </w:rPr>
            </w:pPr>
            <w:hyperlink r:id="rId273">
              <w:r>
                <w:rPr>
                  <w:rFonts w:ascii="Arial" w:cs="Arial" w:eastAsia="Arial" w:hAnsi="Arial"/>
                  <w:sz w:val="16"/>
                  <w:szCs w:val="16"/>
                  <w:color w:val="0000FF"/>
                </w:rPr>
                <w:t>Letter regarding employment arrangement of Jeffrey Capello dated November 14, 2017. Filed as Exhibit 10.31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7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Annual Report on Form 10-K for the year ended December 31,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740" w:type="dxa"/>
            <w:vAlign w:val="bottom"/>
            <w:tcBorders>
              <w:left w:val="single" w:sz="8" w:color="0000FF"/>
            </w:tcBorders>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10.43*</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74">
              <w:r>
                <w:rPr>
                  <w:rFonts w:ascii="Arial" w:cs="Arial" w:eastAsia="Arial" w:hAnsi="Arial"/>
                  <w:sz w:val="16"/>
                  <w:szCs w:val="16"/>
                  <w:color w:val="0000FF"/>
                </w:rPr>
                <w:t>Separation Agreement between Biogen Inc. and Jeffrey Capello dated July 16, 2020. Filed as Exhibit 10.3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6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 xml:space="preserve">Quarterly Report on Form 10-Q for the quarter ended </w:t>
              </w:r>
              <w:r>
                <w:rPr>
                  <w:rFonts w:ascii="Arial" w:cs="Arial" w:eastAsia="Arial" w:hAnsi="Arial"/>
                  <w:sz w:val="16"/>
                  <w:szCs w:val="16"/>
                  <w:u w:val="single" w:color="auto"/>
                  <w:color w:val="0000FF"/>
                </w:rPr>
                <w:t>September 30, 2020.</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10.44*</w:t>
            </w:r>
          </w:p>
        </w:tc>
        <w:tc>
          <w:tcPr>
            <w:tcW w:w="1680" w:type="dxa"/>
            <w:vAlign w:val="bottom"/>
          </w:tcPr>
          <w:p>
            <w:pPr>
              <w:spacing w:after="0"/>
              <w:rPr>
                <w:sz w:val="17"/>
                <w:szCs w:val="17"/>
                <w:color w:val="auto"/>
              </w:rPr>
            </w:pPr>
          </w:p>
        </w:tc>
        <w:tc>
          <w:tcPr>
            <w:tcW w:w="8820" w:type="dxa"/>
            <w:vAlign w:val="bottom"/>
            <w:gridSpan w:val="18"/>
          </w:tcPr>
          <w:p>
            <w:pPr>
              <w:spacing w:after="0"/>
              <w:rPr>
                <w:rFonts w:ascii="Arial" w:cs="Arial" w:eastAsia="Arial" w:hAnsi="Arial"/>
                <w:sz w:val="16"/>
                <w:szCs w:val="16"/>
                <w:color w:val="0000FF"/>
              </w:rPr>
            </w:pPr>
            <w:hyperlink r:id="rId275">
              <w:r>
                <w:rPr>
                  <w:rFonts w:ascii="Arial" w:cs="Arial" w:eastAsia="Arial" w:hAnsi="Arial"/>
                  <w:sz w:val="16"/>
                  <w:szCs w:val="16"/>
                  <w:color w:val="0000FF"/>
                </w:rPr>
                <w:t>Letter regarding employment arrangement of Michael Ehlers dated April 16, 2016. Filed as Exhibit 10.33 to our Annual</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Report on Form 10-K for the year ended December 31, 2017.</w:t>
              </w:r>
            </w:hyperlink>
          </w:p>
        </w:tc>
        <w:tc>
          <w:tcPr>
            <w:tcW w:w="436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31"/>
        </w:trPr>
        <w:tc>
          <w:tcPr>
            <w:tcW w:w="860" w:type="dxa"/>
            <w:vAlign w:val="bottom"/>
          </w:tcPr>
          <w:p>
            <w:pPr>
              <w:spacing w:after="0"/>
              <w:rPr>
                <w:sz w:val="20"/>
                <w:szCs w:val="20"/>
                <w:color w:val="auto"/>
              </w:rPr>
            </w:pPr>
            <w:r>
              <w:rPr>
                <w:rFonts w:ascii="Arial" w:cs="Arial" w:eastAsia="Arial" w:hAnsi="Arial"/>
                <w:sz w:val="16"/>
                <w:szCs w:val="16"/>
                <w:color w:val="auto"/>
              </w:rPr>
              <w:t>21+</w:t>
            </w:r>
          </w:p>
        </w:tc>
        <w:tc>
          <w:tcPr>
            <w:tcW w:w="1680" w:type="dxa"/>
            <w:vAlign w:val="bottom"/>
          </w:tcPr>
          <w:p>
            <w:pPr>
              <w:spacing w:after="0"/>
              <w:rPr>
                <w:sz w:val="20"/>
                <w:szCs w:val="20"/>
                <w:color w:val="auto"/>
              </w:rPr>
            </w:pPr>
          </w:p>
        </w:tc>
        <w:tc>
          <w:tcPr>
            <w:tcW w:w="8820" w:type="dxa"/>
            <w:vAlign w:val="bottom"/>
            <w:gridSpan w:val="18"/>
          </w:tcPr>
          <w:p>
            <w:pPr>
              <w:spacing w:after="0"/>
              <w:rPr>
                <w:rFonts w:ascii="Arial" w:cs="Arial" w:eastAsia="Arial" w:hAnsi="Arial"/>
                <w:sz w:val="16"/>
                <w:szCs w:val="16"/>
                <w:u w:val="single" w:color="auto"/>
                <w:color w:val="0000FF"/>
              </w:rPr>
            </w:pPr>
            <w:hyperlink w:anchor="page208">
              <w:r>
                <w:rPr>
                  <w:rFonts w:ascii="Arial" w:cs="Arial" w:eastAsia="Arial" w:hAnsi="Arial"/>
                  <w:sz w:val="16"/>
                  <w:szCs w:val="16"/>
                  <w:u w:val="single" w:color="auto"/>
                  <w:color w:val="0000FF"/>
                </w:rPr>
                <w:t>Subsidiaries.</w:t>
              </w:r>
            </w:hyperlink>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23+</w:t>
            </w:r>
          </w:p>
        </w:tc>
        <w:tc>
          <w:tcPr>
            <w:tcW w:w="1680" w:type="dxa"/>
            <w:vAlign w:val="bottom"/>
          </w:tcPr>
          <w:p>
            <w:pPr>
              <w:spacing w:after="0"/>
              <w:rPr>
                <w:sz w:val="18"/>
                <w:szCs w:val="18"/>
                <w:color w:val="auto"/>
              </w:rPr>
            </w:pPr>
          </w:p>
        </w:tc>
        <w:tc>
          <w:tcPr>
            <w:tcW w:w="8820" w:type="dxa"/>
            <w:vAlign w:val="bottom"/>
            <w:gridSpan w:val="18"/>
          </w:tcPr>
          <w:p>
            <w:pPr>
              <w:spacing w:after="0"/>
              <w:rPr>
                <w:rFonts w:ascii="Arial" w:cs="Arial" w:eastAsia="Arial" w:hAnsi="Arial"/>
                <w:sz w:val="16"/>
                <w:szCs w:val="16"/>
                <w:color w:val="0000FF"/>
              </w:rPr>
            </w:pPr>
            <w:hyperlink w:anchor="page210">
              <w:r>
                <w:rPr>
                  <w:rFonts w:ascii="Arial" w:cs="Arial" w:eastAsia="Arial" w:hAnsi="Arial"/>
                  <w:sz w:val="16"/>
                  <w:szCs w:val="16"/>
                  <w:u w:val="single" w:color="auto"/>
                  <w:color w:val="0000FF"/>
                </w:rPr>
                <w:t>Consent of PricewaterhouseCoopers LLP, an Independent Registered Public Accounting Firm</w:t>
              </w:r>
              <w:r>
                <w:rPr>
                  <w:rFonts w:ascii="Arial" w:cs="Arial" w:eastAsia="Arial" w:hAnsi="Arial"/>
                  <w:sz w:val="16"/>
                  <w:szCs w:val="16"/>
                  <w:color w:val="0000FF"/>
                </w:rPr>
                <w:t>.</w:t>
              </w:r>
            </w:hyperlink>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1680" w:type="dxa"/>
            <w:vAlign w:val="bottom"/>
          </w:tcPr>
          <w:p>
            <w:pPr>
              <w:spacing w:after="0"/>
              <w:rPr>
                <w:sz w:val="18"/>
                <w:szCs w:val="18"/>
                <w:color w:val="auto"/>
              </w:rPr>
            </w:pPr>
          </w:p>
        </w:tc>
        <w:tc>
          <w:tcPr>
            <w:tcW w:w="8820" w:type="dxa"/>
            <w:vAlign w:val="bottom"/>
            <w:gridSpan w:val="18"/>
          </w:tcPr>
          <w:p>
            <w:pPr>
              <w:spacing w:after="0"/>
              <w:rPr>
                <w:rFonts w:ascii="Arial" w:cs="Arial" w:eastAsia="Arial" w:hAnsi="Arial"/>
                <w:sz w:val="16"/>
                <w:szCs w:val="16"/>
                <w:color w:val="0000FF"/>
              </w:rPr>
            </w:pPr>
            <w:hyperlink w:anchor="page211">
              <w:r>
                <w:rPr>
                  <w:rFonts w:ascii="Arial" w:cs="Arial" w:eastAsia="Arial" w:hAnsi="Arial"/>
                  <w:sz w:val="16"/>
                  <w:szCs w:val="16"/>
                  <w:u w:val="single" w:color="auto"/>
                  <w:color w:val="0000FF"/>
                </w:rPr>
                <w:t>Certification of the Chief Executive Officer pursuant to Section 302 of the Sarbanes-Oxley Act of 2002</w:t>
              </w:r>
              <w:r>
                <w:rPr>
                  <w:rFonts w:ascii="Arial" w:cs="Arial" w:eastAsia="Arial" w:hAnsi="Arial"/>
                  <w:sz w:val="16"/>
                  <w:szCs w:val="16"/>
                  <w:color w:val="0000FF"/>
                </w:rPr>
                <w:t>.</w:t>
              </w:r>
            </w:hyperlink>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680" w:type="dxa"/>
            <w:vAlign w:val="bottom"/>
          </w:tcPr>
          <w:p>
            <w:pPr>
              <w:spacing w:after="0"/>
              <w:rPr>
                <w:sz w:val="18"/>
                <w:szCs w:val="18"/>
                <w:color w:val="auto"/>
              </w:rPr>
            </w:pPr>
          </w:p>
        </w:tc>
        <w:tc>
          <w:tcPr>
            <w:tcW w:w="8820" w:type="dxa"/>
            <w:vAlign w:val="bottom"/>
            <w:gridSpan w:val="18"/>
          </w:tcPr>
          <w:p>
            <w:pPr>
              <w:spacing w:after="0"/>
              <w:rPr>
                <w:rFonts w:ascii="Arial" w:cs="Arial" w:eastAsia="Arial" w:hAnsi="Arial"/>
                <w:sz w:val="16"/>
                <w:szCs w:val="16"/>
                <w:color w:val="0000FF"/>
              </w:rPr>
            </w:pPr>
            <w:hyperlink w:anchor="page212">
              <w:r>
                <w:rPr>
                  <w:rFonts w:ascii="Arial" w:cs="Arial" w:eastAsia="Arial" w:hAnsi="Arial"/>
                  <w:sz w:val="16"/>
                  <w:szCs w:val="16"/>
                  <w:u w:val="single" w:color="auto"/>
                  <w:color w:val="0000FF"/>
                </w:rPr>
                <w:t>Certification of the Chief Financial Officer pursuant to Section 302 of the Sarbanes-Oxley Act of 2002</w:t>
              </w:r>
              <w:r>
                <w:rPr>
                  <w:rFonts w:ascii="Arial" w:cs="Arial" w:eastAsia="Arial" w:hAnsi="Arial"/>
                  <w:sz w:val="16"/>
                  <w:szCs w:val="16"/>
                  <w:color w:val="0000FF"/>
                </w:rPr>
                <w:t>.</w:t>
              </w:r>
            </w:hyperlink>
          </w:p>
        </w:tc>
      </w:tr>
      <w:tr>
        <w:trPr>
          <w:trHeight w:val="181"/>
        </w:trPr>
        <w:tc>
          <w:tcPr>
            <w:tcW w:w="860" w:type="dxa"/>
            <w:vAlign w:val="bottom"/>
          </w:tcPr>
          <w:p>
            <w:pPr>
              <w:spacing w:after="0" w:line="181" w:lineRule="exact"/>
              <w:rPr>
                <w:sz w:val="20"/>
                <w:szCs w:val="20"/>
                <w:color w:val="auto"/>
              </w:rPr>
            </w:pPr>
            <w:r>
              <w:rPr>
                <w:rFonts w:ascii="Arial" w:cs="Arial" w:eastAsia="Arial" w:hAnsi="Arial"/>
                <w:sz w:val="16"/>
                <w:szCs w:val="16"/>
                <w:color w:val="auto"/>
              </w:rPr>
              <w:t>32.1++</w:t>
            </w:r>
          </w:p>
        </w:tc>
        <w:tc>
          <w:tcPr>
            <w:tcW w:w="1680" w:type="dxa"/>
            <w:vAlign w:val="bottom"/>
          </w:tcPr>
          <w:p>
            <w:pPr>
              <w:spacing w:after="0"/>
              <w:rPr>
                <w:sz w:val="15"/>
                <w:szCs w:val="15"/>
                <w:color w:val="auto"/>
              </w:rPr>
            </w:pPr>
          </w:p>
        </w:tc>
        <w:tc>
          <w:tcPr>
            <w:tcW w:w="8820" w:type="dxa"/>
            <w:vAlign w:val="bottom"/>
            <w:gridSpan w:val="18"/>
          </w:tcPr>
          <w:p>
            <w:pPr>
              <w:spacing w:after="0" w:line="181" w:lineRule="exact"/>
              <w:rPr>
                <w:rFonts w:ascii="Arial" w:cs="Arial" w:eastAsia="Arial" w:hAnsi="Arial"/>
                <w:sz w:val="16"/>
                <w:szCs w:val="16"/>
                <w:color w:val="0000FF"/>
              </w:rPr>
            </w:pPr>
            <w:hyperlink w:anchor="page213">
              <w:r>
                <w:rPr>
                  <w:rFonts w:ascii="Arial" w:cs="Arial" w:eastAsia="Arial" w:hAnsi="Arial"/>
                  <w:sz w:val="16"/>
                  <w:szCs w:val="16"/>
                  <w:color w:val="0000FF"/>
                </w:rPr>
                <w:t>Certification of the Chief Executive Officer and the Chief Financial Officer pursuant to Section 906 of the Sarbanes-Oxley</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8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213">
              <w:r>
                <w:rPr>
                  <w:rFonts w:ascii="Arial" w:cs="Arial" w:eastAsia="Arial" w:hAnsi="Arial"/>
                  <w:sz w:val="16"/>
                  <w:szCs w:val="16"/>
                  <w:color w:val="0000FF"/>
                </w:rPr>
                <w:t>Act of 2002.</w:t>
              </w:r>
            </w:hyperlink>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960" w:type="dxa"/>
            <w:vAlign w:val="bottom"/>
            <w:gridSpan w:val="17"/>
          </w:tcPr>
          <w:p>
            <w:pPr>
              <w:spacing w:after="0" w:line="20" w:lineRule="exact"/>
              <w:rPr>
                <w:sz w:val="1"/>
                <w:szCs w:val="1"/>
                <w:color w:val="auto"/>
              </w:rPr>
            </w:pPr>
          </w:p>
        </w:tc>
      </w:tr>
      <w:tr>
        <w:trPr>
          <w:trHeight w:val="198"/>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1680" w:type="dxa"/>
            <w:vAlign w:val="bottom"/>
          </w:tcPr>
          <w:p>
            <w:pPr>
              <w:spacing w:after="0"/>
              <w:rPr>
                <w:sz w:val="17"/>
                <w:szCs w:val="17"/>
                <w:color w:val="auto"/>
              </w:rPr>
            </w:pPr>
          </w:p>
        </w:tc>
        <w:tc>
          <w:tcPr>
            <w:tcW w:w="8820" w:type="dxa"/>
            <w:vAlign w:val="bottom"/>
            <w:gridSpan w:val="18"/>
          </w:tcPr>
          <w:p>
            <w:pPr>
              <w:spacing w:after="0"/>
              <w:rPr>
                <w:sz w:val="20"/>
                <w:szCs w:val="20"/>
                <w:color w:val="auto"/>
              </w:rPr>
            </w:pPr>
            <w:r>
              <w:rPr>
                <w:rFonts w:ascii="Arial" w:cs="Arial" w:eastAsia="Arial" w:hAnsi="Arial"/>
                <w:sz w:val="16"/>
                <w:szCs w:val="16"/>
                <w:color w:val="auto"/>
              </w:rPr>
              <w:t>The following materials from Biogen Inc.’s Annual Report on Form 10-K for the year ended December 31, 2020,</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20" w:type="dxa"/>
            <w:vAlign w:val="bottom"/>
            <w:gridSpan w:val="18"/>
          </w:tcPr>
          <w:p>
            <w:pPr>
              <w:spacing w:after="0" w:line="162" w:lineRule="exact"/>
              <w:rPr>
                <w:sz w:val="20"/>
                <w:szCs w:val="20"/>
                <w:color w:val="auto"/>
              </w:rPr>
            </w:pPr>
            <w:r>
              <w:rPr>
                <w:rFonts w:ascii="Arial" w:cs="Arial" w:eastAsia="Arial" w:hAnsi="Arial"/>
                <w:sz w:val="16"/>
                <w:szCs w:val="16"/>
                <w:color w:val="auto"/>
              </w:rPr>
              <w:t>formatted in iXBRL (Inline Extensible Business Reporting Language): (i) the Consolidated Statements of Income, (ii) the</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20" w:type="dxa"/>
            <w:vAlign w:val="bottom"/>
            <w:gridSpan w:val="18"/>
          </w:tcPr>
          <w:p>
            <w:pPr>
              <w:spacing w:after="0" w:line="162" w:lineRule="exact"/>
              <w:rPr>
                <w:sz w:val="20"/>
                <w:szCs w:val="20"/>
                <w:color w:val="auto"/>
              </w:rPr>
            </w:pPr>
            <w:r>
              <w:rPr>
                <w:rFonts w:ascii="Arial" w:cs="Arial" w:eastAsia="Arial" w:hAnsi="Arial"/>
                <w:sz w:val="16"/>
                <w:szCs w:val="16"/>
                <w:color w:val="auto"/>
              </w:rPr>
              <w:t>Consolidated Statements of Comprehensive Income, (iii) the Consolidated Balance Sheets, (iv) the Consolidated</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20" w:type="dxa"/>
            <w:vAlign w:val="bottom"/>
            <w:gridSpan w:val="18"/>
          </w:tcPr>
          <w:p>
            <w:pPr>
              <w:spacing w:after="0" w:line="162" w:lineRule="exact"/>
              <w:rPr>
                <w:sz w:val="20"/>
                <w:szCs w:val="20"/>
                <w:color w:val="auto"/>
              </w:rPr>
            </w:pPr>
            <w:r>
              <w:rPr>
                <w:rFonts w:ascii="Arial" w:cs="Arial" w:eastAsia="Arial" w:hAnsi="Arial"/>
                <w:sz w:val="16"/>
                <w:szCs w:val="16"/>
                <w:color w:val="auto"/>
              </w:rPr>
              <w:t>Statements of Cash Flows, (v) the Consolidated Statements of Equity and (vi) Notes to Consolidated Financial</w:t>
            </w:r>
          </w:p>
        </w:tc>
      </w:tr>
      <w:tr>
        <w:trPr>
          <w:trHeight w:val="195"/>
        </w:trPr>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20" w:type="dxa"/>
            <w:vAlign w:val="bottom"/>
            <w:gridSpan w:val="18"/>
          </w:tcPr>
          <w:p>
            <w:pPr>
              <w:spacing w:after="0"/>
              <w:rPr>
                <w:sz w:val="20"/>
                <w:szCs w:val="20"/>
                <w:color w:val="auto"/>
              </w:rPr>
            </w:pPr>
            <w:r>
              <w:rPr>
                <w:rFonts w:ascii="Arial" w:cs="Arial" w:eastAsia="Arial" w:hAnsi="Arial"/>
                <w:sz w:val="16"/>
                <w:szCs w:val="16"/>
                <w:color w:val="auto"/>
              </w:rPr>
              <w:t>Statements.</w:t>
            </w:r>
          </w:p>
        </w:tc>
      </w:tr>
    </w:tbl>
    <w:p>
      <w:pPr>
        <w:spacing w:after="0" w:line="127" w:lineRule="exact"/>
        <w:rPr>
          <w:sz w:val="20"/>
          <w:szCs w:val="20"/>
          <w:color w:val="auto"/>
        </w:rPr>
      </w:pPr>
    </w:p>
    <w:p>
      <w:pPr>
        <w:ind w:left="680" w:hanging="533"/>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44" w:lineRule="exact"/>
        <w:rPr>
          <w:sz w:val="20"/>
          <w:szCs w:val="20"/>
          <w:color w:val="auto"/>
        </w:rPr>
      </w:pPr>
    </w:p>
    <w:p>
      <w:pPr>
        <w:ind w:left="680" w:hanging="533"/>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Confidential treatment has been granted or requested with respect to portions of this exhibit.</w:t>
      </w:r>
    </w:p>
    <w:p>
      <w:pPr>
        <w:spacing w:after="0" w:line="144"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131" w:lineRule="exact"/>
        <w:rPr>
          <w:sz w:val="20"/>
          <w:szCs w:val="20"/>
          <w:color w:val="auto"/>
        </w:rPr>
      </w:pPr>
    </w:p>
    <w:p>
      <w:pPr>
        <w:ind w:left="680" w:hanging="604"/>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1C5A7D"/>
        </w:rPr>
        <w:t>SIGNATURES</w:t>
      </w:r>
    </w:p>
    <w:p>
      <w:pPr>
        <w:spacing w:after="0" w:line="116"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BIOGEN INC.</w:t>
      </w:r>
    </w:p>
    <w:p>
      <w:pPr>
        <w:spacing w:after="0" w:line="315" w:lineRule="exact"/>
        <w:rPr>
          <w:sz w:val="20"/>
          <w:szCs w:val="20"/>
          <w:color w:val="auto"/>
        </w:rPr>
      </w:pPr>
    </w:p>
    <w:p>
      <w:pPr>
        <w:ind w:left="7000"/>
        <w:spacing w:after="0"/>
        <w:tabs>
          <w:tab w:leader="none" w:pos="770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ICHEL</w:t>
      </w:r>
      <w:r>
        <w:rPr>
          <w:rFonts w:ascii="Arial" w:cs="Arial" w:eastAsia="Arial" w:hAnsi="Arial"/>
          <w:sz w:val="18"/>
          <w:szCs w:val="18"/>
          <w:color w:val="auto"/>
        </w:rPr>
        <w:t xml:space="preserve"> V</w:t>
      </w:r>
      <w:r>
        <w:rPr>
          <w:rFonts w:ascii="Arial" w:cs="Arial" w:eastAsia="Arial" w:hAnsi="Arial"/>
          <w:sz w:val="14"/>
          <w:szCs w:val="14"/>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23495</wp:posOffset>
            </wp:positionV>
            <wp:extent cx="22459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5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Michel Vounatsos</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2021</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4" w:right="51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40"/>
          </w:cols>
          <w:pgMar w:left="320" w:top="144" w:right="639" w:bottom="1440" w:gutter="0" w:footer="0" w:header="0"/>
        </w:sectPr>
      </w:pPr>
    </w:p>
    <w:p>
      <w:pPr>
        <w:spacing w:after="0" w:line="266"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u w:val="single" w:color="auto"/>
          <w:color w:val="auto"/>
        </w:rPr>
        <w:t>Name</w:t>
      </w:r>
    </w:p>
    <w:p>
      <w:pPr>
        <w:spacing w:after="0" w:line="297"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ICHEL</w:t>
      </w:r>
      <w:r>
        <w:rPr>
          <w:rFonts w:ascii="Arial" w:cs="Arial" w:eastAsia="Arial" w:hAnsi="Arial"/>
          <w:sz w:val="18"/>
          <w:szCs w:val="18"/>
          <w:color w:val="auto"/>
        </w:rPr>
        <w:t xml:space="preserve"> V</w:t>
      </w:r>
      <w:r>
        <w:rPr>
          <w:rFonts w:ascii="Arial" w:cs="Arial" w:eastAsia="Arial" w:hAnsi="Arial"/>
          <w:sz w:val="14"/>
          <w:szCs w:val="14"/>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Michel Vounatsos</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R.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R. McDonnell</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OBIN</w:t>
      </w:r>
      <w:r>
        <w:rPr>
          <w:rFonts w:ascii="Arial" w:cs="Arial" w:eastAsia="Arial" w:hAnsi="Arial"/>
          <w:sz w:val="18"/>
          <w:szCs w:val="18"/>
          <w:color w:val="auto"/>
        </w:rPr>
        <w:t xml:space="preserve"> C.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1">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Robin C. Kramer</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TELIOS</w:t>
      </w:r>
      <w:r>
        <w:rPr>
          <w:rFonts w:ascii="Arial" w:cs="Arial" w:eastAsia="Arial" w:hAnsi="Arial"/>
          <w:sz w:val="18"/>
          <w:szCs w:val="18"/>
          <w:color w:val="auto"/>
        </w:rPr>
        <w:t xml:space="preserve"> P</w:t>
      </w:r>
      <w:r>
        <w:rPr>
          <w:rFonts w:ascii="Arial" w:cs="Arial" w:eastAsia="Arial" w:hAnsi="Arial"/>
          <w:sz w:val="14"/>
          <w:szCs w:val="14"/>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Stelios Papadopoulos</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LEXANDER</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D</w:t>
      </w:r>
      <w:r>
        <w:rPr>
          <w:rFonts w:ascii="Arial" w:cs="Arial" w:eastAsia="Arial" w:hAnsi="Arial"/>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Alexander J. Denner</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AROLINE</w:t>
      </w:r>
      <w:r>
        <w:rPr>
          <w:rFonts w:ascii="Arial" w:cs="Arial" w:eastAsia="Arial" w:hAnsi="Arial"/>
          <w:sz w:val="18"/>
          <w:szCs w:val="18"/>
          <w:color w:val="auto"/>
        </w:rPr>
        <w:t xml:space="preserve"> D. D</w:t>
      </w:r>
      <w:r>
        <w:rPr>
          <w:rFonts w:ascii="Arial" w:cs="Arial" w:eastAsia="Arial" w:hAnsi="Arial"/>
          <w:sz w:val="14"/>
          <w:szCs w:val="14"/>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Caroline D. Dorsa</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A.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A. Hawkins</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N</w:t>
      </w:r>
      <w:r>
        <w:rPr>
          <w:rFonts w:ascii="Arial" w:cs="Arial" w:eastAsia="Arial" w:hAnsi="Arial"/>
          <w:sz w:val="14"/>
          <w:szCs w:val="14"/>
          <w:color w:val="auto"/>
        </w:rPr>
        <w:t>ANCY</w:t>
      </w:r>
      <w:r>
        <w:rPr>
          <w:rFonts w:ascii="Arial" w:cs="Arial" w:eastAsia="Arial" w:hAnsi="Arial"/>
          <w:sz w:val="18"/>
          <w:szCs w:val="18"/>
          <w:color w:val="auto"/>
        </w:rPr>
        <w:t xml:space="preserve"> L. L</w:t>
      </w:r>
      <w:r>
        <w:rPr>
          <w:rFonts w:ascii="Arial" w:cs="Arial" w:eastAsia="Arial" w:hAnsi="Arial"/>
          <w:sz w:val="14"/>
          <w:szCs w:val="14"/>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Nancy L. Leaming</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ESUS</w:t>
      </w:r>
      <w:r>
        <w:rPr>
          <w:rFonts w:ascii="Arial" w:cs="Arial" w:eastAsia="Arial" w:hAnsi="Arial"/>
          <w:sz w:val="18"/>
          <w:szCs w:val="18"/>
          <w:color w:val="auto"/>
        </w:rPr>
        <w:t xml:space="preserve"> B. M</w:t>
      </w:r>
      <w:r>
        <w:rPr>
          <w:rFonts w:ascii="Arial" w:cs="Arial" w:eastAsia="Arial" w:hAnsi="Arial"/>
          <w:sz w:val="14"/>
          <w:szCs w:val="14"/>
          <w:color w:val="auto"/>
        </w:rPr>
        <w:t>ANTAS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Jesus B. Mantas</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ICHARD</w:t>
      </w:r>
      <w:r>
        <w:rPr>
          <w:rFonts w:ascii="Arial" w:cs="Arial" w:eastAsia="Arial" w:hAnsi="Arial"/>
          <w:sz w:val="18"/>
          <w:szCs w:val="18"/>
          <w:color w:val="auto"/>
        </w:rPr>
        <w:t xml:space="preserve"> C</w:t>
      </w:r>
      <w:r>
        <w:rPr>
          <w:rFonts w:ascii="Arial" w:cs="Arial" w:eastAsia="Arial" w:hAnsi="Arial"/>
          <w:sz w:val="14"/>
          <w:szCs w:val="14"/>
          <w:color w:val="auto"/>
        </w:rPr>
        <w:t>.</w:t>
      </w:r>
      <w:r>
        <w:rPr>
          <w:rFonts w:ascii="Arial" w:cs="Arial" w:eastAsia="Arial" w:hAnsi="Arial"/>
          <w:sz w:val="18"/>
          <w:szCs w:val="18"/>
          <w:color w:val="auto"/>
        </w:rPr>
        <w:t xml:space="preserve"> M</w:t>
      </w:r>
      <w:r>
        <w:rPr>
          <w:rFonts w:ascii="Arial" w:cs="Arial" w:eastAsia="Arial" w:hAnsi="Arial"/>
          <w:sz w:val="14"/>
          <w:szCs w:val="14"/>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C. Mulligan</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OBERT</w:t>
      </w:r>
      <w:r>
        <w:rPr>
          <w:rFonts w:ascii="Arial" w:cs="Arial" w:eastAsia="Arial" w:hAnsi="Arial"/>
          <w:sz w:val="18"/>
          <w:szCs w:val="18"/>
          <w:color w:val="auto"/>
        </w:rPr>
        <w:t xml:space="preserve"> W. P</w:t>
      </w:r>
      <w:r>
        <w:rPr>
          <w:rFonts w:ascii="Arial" w:cs="Arial" w:eastAsia="Arial" w:hAnsi="Arial"/>
          <w:sz w:val="14"/>
          <w:szCs w:val="14"/>
          <w:color w:val="auto"/>
        </w:rPr>
        <w:t>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W. Pangia</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B</w:t>
      </w:r>
      <w:r>
        <w:rPr>
          <w:rFonts w:ascii="Arial" w:cs="Arial" w:eastAsia="Arial" w:hAnsi="Arial"/>
          <w:sz w:val="14"/>
          <w:szCs w:val="14"/>
          <w:color w:val="auto"/>
        </w:rPr>
        <w:t>RIAN</w:t>
      </w:r>
      <w:r>
        <w:rPr>
          <w:rFonts w:ascii="Arial" w:cs="Arial" w:eastAsia="Arial" w:hAnsi="Arial"/>
          <w:sz w:val="18"/>
          <w:szCs w:val="18"/>
          <w:color w:val="auto"/>
        </w:rPr>
        <w:t xml:space="preserve"> S. P</w:t>
      </w:r>
      <w:r>
        <w:rPr>
          <w:rFonts w:ascii="Arial" w:cs="Arial" w:eastAsia="Arial" w:hAnsi="Arial"/>
          <w:sz w:val="14"/>
          <w:szCs w:val="14"/>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S. Posner</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RIC</w:t>
      </w:r>
      <w:r>
        <w:rPr>
          <w:rFonts w:ascii="Arial" w:cs="Arial" w:eastAsia="Arial" w:hAnsi="Arial"/>
          <w:sz w:val="18"/>
          <w:szCs w:val="18"/>
          <w:color w:val="auto"/>
        </w:rPr>
        <w:t xml:space="preserve"> K. R</w:t>
      </w:r>
      <w:r>
        <w:rPr>
          <w:rFonts w:ascii="Arial" w:cs="Arial" w:eastAsia="Arial" w:hAnsi="Arial"/>
          <w:sz w:val="14"/>
          <w:szCs w:val="14"/>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K. Rowinsky</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TEPHEN</w:t>
      </w:r>
      <w:r>
        <w:rPr>
          <w:rFonts w:ascii="Arial" w:cs="Arial" w:eastAsia="Arial" w:hAnsi="Arial"/>
          <w:sz w:val="18"/>
          <w:szCs w:val="18"/>
          <w:color w:val="auto"/>
        </w:rPr>
        <w:t xml:space="preserve"> A. S</w:t>
      </w:r>
      <w:r>
        <w:rPr>
          <w:rFonts w:ascii="Arial" w:cs="Arial" w:eastAsia="Arial" w:hAnsi="Arial"/>
          <w:sz w:val="14"/>
          <w:szCs w:val="14"/>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A. Sherwin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Capacity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and Chief Executive Officer</w:t>
      </w:r>
    </w:p>
    <w:p>
      <w:pPr>
        <w:jc w:val="center"/>
        <w:spacing w:after="0"/>
        <w:rPr>
          <w:sz w:val="20"/>
          <w:szCs w:val="20"/>
          <w:color w:val="auto"/>
        </w:rPr>
      </w:pPr>
      <w:r>
        <w:rPr>
          <w:rFonts w:ascii="Arial" w:cs="Arial" w:eastAsia="Arial" w:hAnsi="Arial"/>
          <w:sz w:val="18"/>
          <w:szCs w:val="18"/>
          <w:color w:val="auto"/>
        </w:rPr>
        <w:t>(principal executive officer)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Executive Vice President and Chief Financial Officer</w:t>
      </w:r>
    </w:p>
    <w:p>
      <w:pPr>
        <w:jc w:val="center"/>
        <w:spacing w:after="0"/>
        <w:rPr>
          <w:sz w:val="20"/>
          <w:szCs w:val="20"/>
          <w:color w:val="auto"/>
        </w:rPr>
      </w:pPr>
      <w:r>
        <w:rPr>
          <w:rFonts w:ascii="Arial" w:cs="Arial" w:eastAsia="Arial" w:hAnsi="Arial"/>
          <w:sz w:val="18"/>
          <w:szCs w:val="18"/>
          <w:color w:val="auto"/>
        </w:rPr>
        <w:t>(principal financial officer)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Vice President, Chief Accounting Officer</w:t>
      </w:r>
    </w:p>
    <w:p>
      <w:pPr>
        <w:jc w:val="cente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 and Chairman of the Board of Directors</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February 3, 2021</w:t>
      </w:r>
    </w:p>
    <w:p>
      <w:pPr>
        <w:spacing w:after="0" w:line="427" w:lineRule="exact"/>
        <w:rPr>
          <w:sz w:val="20"/>
          <w:szCs w:val="20"/>
          <w:color w:val="auto"/>
        </w:rPr>
      </w:pPr>
    </w:p>
    <w:p>
      <w:pPr>
        <w:sectPr>
          <w:pgSz w:w="11900" w:h="16838" w:orient="portrait"/>
          <w:cols w:equalWidth="0" w:num="3">
            <w:col w:w="4120" w:space="720"/>
            <w:col w:w="4160" w:space="540"/>
            <w:col w:w="1400"/>
          </w:cols>
          <w:pgMar w:left="320" w:top="144" w:right="6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44" w:right="63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CONSOLIDATED FINANCIAL STATEMENTS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780" w:type="dxa"/>
            <w:vAlign w:val="bottom"/>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 Number</w:t>
            </w: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4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4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Equity</w:t>
            </w:r>
          </w:p>
        </w:tc>
        <w:tc>
          <w:tcPr>
            <w:tcW w:w="14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20" w:type="dxa"/>
            <w:vAlign w:val="bottom"/>
          </w:tcPr>
          <w:p>
            <w:pPr>
              <w:jc w:val="right"/>
              <w:spacing w:after="0"/>
              <w:rPr>
                <w:sz w:val="20"/>
                <w:szCs w:val="20"/>
                <w:color w:val="auto"/>
              </w:rPr>
            </w:pPr>
            <w:r>
              <w:rPr>
                <w:rFonts w:ascii="Arial" w:cs="Arial" w:eastAsia="Arial" w:hAnsi="Arial"/>
                <w:sz w:val="18"/>
                <w:szCs w:val="18"/>
                <w:color w:val="auto"/>
              </w:rPr>
              <w:t>F-80</w:t>
            </w:r>
          </w:p>
        </w:tc>
      </w:tr>
    </w:tbl>
    <w:p>
      <w:pPr>
        <w:spacing w:after="0" w:line="200" w:lineRule="exact"/>
        <w:rPr>
          <w:sz w:val="20"/>
          <w:szCs w:val="20"/>
          <w:color w:val="auto"/>
        </w:rPr>
      </w:pP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(In millions, except per share amounts)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For the 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140" w:type="dxa"/>
            <w:vAlign w:val="bottom"/>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500" w:type="dxa"/>
            <w:vAlign w:val="bottom"/>
            <w:tcBorders>
              <w:bottom w:val="single" w:sz="8" w:color="auto"/>
            </w:tcBorders>
            <w:shd w:val="clear" w:color="auto" w:fill="DDDDDD"/>
          </w:tcPr>
          <w:p>
            <w:pPr>
              <w:jc w:val="right"/>
              <w:ind w:right="539"/>
              <w:spacing w:after="0"/>
              <w:rPr>
                <w:sz w:val="20"/>
                <w:szCs w:val="20"/>
                <w:color w:val="auto"/>
              </w:rPr>
            </w:pPr>
            <w:r>
              <w:rPr>
                <w:rFonts w:ascii="Arial" w:cs="Arial" w:eastAsia="Arial" w:hAnsi="Arial"/>
                <w:sz w:val="16"/>
                <w:szCs w:val="16"/>
                <w:b w:val="1"/>
                <w:bCs w:val="1"/>
                <w:color w:val="2573BA"/>
              </w:rPr>
              <w:t>2020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DDDDDD"/>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Product, net</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10,692.2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11,379.8</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10,886.8</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Revenues from anti-CD20 therapeutic programs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1,977.8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1,980.2</w:t>
            </w:r>
          </w:p>
        </w:tc>
      </w:tr>
      <w:tr>
        <w:trPr>
          <w:trHeight w:val="219"/>
        </w:trPr>
        <w:tc>
          <w:tcPr>
            <w:tcW w:w="614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774.6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585.9</w:t>
            </w:r>
          </w:p>
        </w:tc>
      </w:tr>
      <w:tr>
        <w:trPr>
          <w:trHeight w:val="207"/>
        </w:trPr>
        <w:tc>
          <w:tcPr>
            <w:tcW w:w="614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13,444.6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14,377.9</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13,452.9</w:t>
            </w:r>
          </w:p>
        </w:tc>
      </w:tr>
      <w:tr>
        <w:trPr>
          <w:trHeight w:val="196"/>
        </w:trPr>
        <w:tc>
          <w:tcPr>
            <w:tcW w:w="6140" w:type="dxa"/>
            <w:vAlign w:val="bottom"/>
          </w:tcPr>
          <w:p>
            <w:pPr>
              <w:spacing w:after="0"/>
              <w:rPr>
                <w:sz w:val="20"/>
                <w:szCs w:val="20"/>
                <w:color w:val="auto"/>
              </w:rPr>
            </w:pPr>
            <w:r>
              <w:rPr>
                <w:rFonts w:ascii="Arial" w:cs="Arial" w:eastAsia="Arial" w:hAnsi="Arial"/>
                <w:sz w:val="16"/>
                <w:szCs w:val="16"/>
                <w:color w:val="auto"/>
              </w:rPr>
              <w:t>Cost and expenses:</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Cost of sales, excluding amortization and impairment of acquired intangible assets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1,805.2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1,816.3</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3,990.9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2,280.6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2,597.2</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2,504.5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2,374.7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2,106.3</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464.8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747.3</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Collaboration profit (loss) sharing</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232.9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(Gain) loss on divestiture of Hillerød, Denmark manufacturing operations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(92.5)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112.5</w:t>
            </w:r>
          </w:p>
        </w:tc>
      </w:tr>
      <w:tr>
        <w:trPr>
          <w:trHeight w:val="219"/>
        </w:trPr>
        <w:tc>
          <w:tcPr>
            <w:tcW w:w="614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10"/>
        </w:trPr>
        <w:tc>
          <w:tcPr>
            <w:tcW w:w="6140" w:type="dxa"/>
            <w:vAlign w:val="bottom"/>
          </w:tcPr>
          <w:p>
            <w:pPr>
              <w:ind w:left="340"/>
              <w:spacing w:after="0"/>
              <w:rPr>
                <w:sz w:val="20"/>
                <w:szCs w:val="20"/>
                <w:color w:val="auto"/>
              </w:rPr>
            </w:pPr>
            <w:r>
              <w:rPr>
                <w:rFonts w:ascii="Arial" w:cs="Arial" w:eastAsia="Arial" w:hAnsi="Arial"/>
                <w:sz w:val="16"/>
                <w:szCs w:val="16"/>
                <w:color w:val="auto"/>
              </w:rPr>
              <w:t>Total cost and expenses</w:t>
            </w:r>
          </w:p>
        </w:tc>
        <w:tc>
          <w:tcPr>
            <w:tcW w:w="120" w:type="dxa"/>
            <w:vAlign w:val="bottom"/>
            <w:tcBorders>
              <w:bottom w:val="single" w:sz="8" w:color="auto"/>
            </w:tcBorders>
            <w:shd w:val="clear" w:color="auto" w:fill="DDDDDD"/>
          </w:tcPr>
          <w:p>
            <w:pPr>
              <w:spacing w:after="0"/>
              <w:rPr>
                <w:sz w:val="18"/>
                <w:szCs w:val="18"/>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8,894.5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7,335.3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7,564.3</w:t>
            </w:r>
          </w:p>
        </w:tc>
      </w:tr>
      <w:tr>
        <w:trPr>
          <w:trHeight w:val="206"/>
        </w:trPr>
        <w:tc>
          <w:tcPr>
            <w:tcW w:w="61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4,550.1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7,042.6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5,888.6</w:t>
            </w:r>
          </w:p>
        </w:tc>
      </w:tr>
      <w:tr>
        <w:trPr>
          <w:trHeight w:val="219"/>
        </w:trPr>
        <w:tc>
          <w:tcPr>
            <w:tcW w:w="61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497.4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07"/>
        </w:trPr>
        <w:tc>
          <w:tcPr>
            <w:tcW w:w="6140" w:type="dxa"/>
            <w:vAlign w:val="bottom"/>
          </w:tcPr>
          <w:p>
            <w:pPr>
              <w:spacing w:after="0"/>
              <w:rPr>
                <w:sz w:val="20"/>
                <w:szCs w:val="20"/>
                <w:color w:val="auto"/>
              </w:rPr>
            </w:pPr>
            <w:r>
              <w:rPr>
                <w:rFonts w:ascii="Arial" w:cs="Arial" w:eastAsia="Arial" w:hAnsi="Arial"/>
                <w:sz w:val="16"/>
                <w:szCs w:val="16"/>
                <w:color w:val="auto"/>
              </w:rPr>
              <w:t>Income before income tax expense and equity in loss of investee, net of tax</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5,047.5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7,125.9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5,899.6</w:t>
            </w:r>
          </w:p>
        </w:tc>
      </w:tr>
      <w:tr>
        <w:trPr>
          <w:trHeight w:val="216"/>
        </w:trPr>
        <w:tc>
          <w:tcPr>
            <w:tcW w:w="614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992.3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1,425.6</w:t>
            </w:r>
          </w:p>
        </w:tc>
      </w:tr>
      <w:tr>
        <w:trPr>
          <w:trHeight w:val="219"/>
        </w:trPr>
        <w:tc>
          <w:tcPr>
            <w:tcW w:w="6140" w:type="dxa"/>
            <w:vAlign w:val="bottom"/>
          </w:tcPr>
          <w:p>
            <w:pPr>
              <w:spacing w:after="0"/>
              <w:rPr>
                <w:sz w:val="20"/>
                <w:szCs w:val="20"/>
                <w:color w:val="auto"/>
              </w:rPr>
            </w:pPr>
            <w:r>
              <w:rPr>
                <w:rFonts w:ascii="Arial" w:cs="Arial" w:eastAsia="Arial" w:hAnsi="Arial"/>
                <w:sz w:val="16"/>
                <w:szCs w:val="16"/>
                <w:color w:val="auto"/>
              </w:rPr>
              <w:t>Equity in (income) loss of investee, net of tax</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(5.3)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14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4,060.5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5,888.5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4,474.0</w:t>
            </w:r>
          </w:p>
        </w:tc>
      </w:tr>
      <w:tr>
        <w:trPr>
          <w:trHeight w:val="219"/>
        </w:trPr>
        <w:tc>
          <w:tcPr>
            <w:tcW w:w="61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net of tax</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59.9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r>
      <w:tr>
        <w:trPr>
          <w:trHeight w:val="253"/>
        </w:trPr>
        <w:tc>
          <w:tcPr>
            <w:tcW w:w="614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4,000.6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5,888.5</w:t>
            </w:r>
          </w:p>
        </w:tc>
        <w:tc>
          <w:tcPr>
            <w:tcW w:w="100" w:type="dxa"/>
            <w:vAlign w:val="bottom"/>
          </w:tcPr>
          <w:p>
            <w:pPr>
              <w:spacing w:after="0"/>
              <w:rPr>
                <w:sz w:val="22"/>
                <w:szCs w:val="22"/>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4,430.7</w:t>
            </w:r>
          </w:p>
        </w:tc>
      </w:tr>
      <w:tr>
        <w:trPr>
          <w:trHeight w:val="433"/>
        </w:trPr>
        <w:tc>
          <w:tcPr>
            <w:tcW w:w="614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tcBorders>
              <w:top w:val="single" w:sz="8" w:color="auto"/>
            </w:tcBorders>
            <w:shd w:val="clear" w:color="auto" w:fill="DDDDDD"/>
          </w:tcPr>
          <w:p>
            <w:pPr>
              <w:spacing w:after="0"/>
              <w:rPr>
                <w:sz w:val="24"/>
                <w:szCs w:val="24"/>
                <w:color w:val="auto"/>
              </w:rPr>
            </w:pPr>
          </w:p>
        </w:tc>
        <w:tc>
          <w:tcPr>
            <w:tcW w:w="1500" w:type="dxa"/>
            <w:vAlign w:val="bottom"/>
            <w:tcBorders>
              <w:top w:val="single" w:sz="8" w:color="auto"/>
            </w:tcBorders>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24.86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21.63</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24.80</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21.58</w:t>
            </w:r>
          </w:p>
        </w:tc>
      </w:tr>
      <w:tr>
        <w:trPr>
          <w:trHeight w:val="473"/>
        </w:trPr>
        <w:tc>
          <w:tcPr>
            <w:tcW w:w="614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160.9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204.9</w:t>
            </w:r>
          </w:p>
        </w:tc>
      </w:tr>
      <w:tr>
        <w:trPr>
          <w:trHeight w:val="222"/>
        </w:trPr>
        <w:tc>
          <w:tcPr>
            <w:tcW w:w="614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spacing w:after="0"/>
              <w:rPr>
                <w:sz w:val="19"/>
                <w:szCs w:val="19"/>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161.3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left="340" w:right="2380"/>
        <w:spacing w:after="0" w:line="265" w:lineRule="auto"/>
        <w:rPr>
          <w:sz w:val="20"/>
          <w:szCs w:val="20"/>
          <w:color w:val="auto"/>
        </w:rPr>
      </w:pPr>
      <w:r>
        <w:rPr>
          <w:rFonts w:ascii="Arial" w:cs="Arial" w:eastAsia="Arial" w:hAnsi="Arial"/>
          <w:sz w:val="22"/>
          <w:szCs w:val="22"/>
          <w:b w:val="1"/>
          <w:bCs w:val="1"/>
          <w:color w:val="1C5A7D"/>
        </w:rPr>
        <w:t>BIOGEN INC. AND SUBSIDIARIES CONSOLIDATED STATEMENTS OF COMPREHENSIVE INCOME (In millions)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6"/>
                <w:szCs w:val="16"/>
                <w:b w:val="1"/>
                <w:bCs w:val="1"/>
                <w:color w:val="auto"/>
              </w:rPr>
              <w:t>For the Years Ended December 31,</w:t>
            </w:r>
          </w:p>
        </w:tc>
      </w:t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b w:val="1"/>
                <w:bCs w:val="1"/>
                <w:color w:val="2573BA"/>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r>
      <w:tr>
        <w:trPr>
          <w:trHeight w:val="204"/>
        </w:trPr>
        <w:tc>
          <w:tcPr>
            <w:tcW w:w="704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300" w:type="dxa"/>
            <w:vAlign w:val="bottom"/>
            <w:shd w:val="clear" w:color="auto" w:fill="DDDDDD"/>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4,000.6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5,888.5</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4,430.7</w:t>
            </w:r>
          </w:p>
        </w:tc>
      </w:tr>
      <w:tr>
        <w:trPr>
          <w:trHeight w:val="196"/>
        </w:trPr>
        <w:tc>
          <w:tcPr>
            <w:tcW w:w="70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top w:val="single" w:sz="8" w:color="auto"/>
            </w:tcBorders>
            <w:shd w:val="clear" w:color="auto" w:fill="DDDDDD"/>
          </w:tcPr>
          <w:p>
            <w:pPr>
              <w:spacing w:after="0"/>
              <w:rPr>
                <w:sz w:val="17"/>
                <w:szCs w:val="17"/>
                <w:color w:val="auto"/>
              </w:rPr>
            </w:pPr>
          </w:p>
        </w:tc>
        <w:tc>
          <w:tcPr>
            <w:tcW w:w="1020" w:type="dxa"/>
            <w:vAlign w:val="bottom"/>
            <w:tcBorders>
              <w:top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cash flow hedges,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(186.8)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139.2</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Gains (losses) on net investment hedges,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7040" w:type="dxa"/>
            <w:vAlign w:val="bottom"/>
          </w:tcPr>
          <w:p>
            <w:pPr>
              <w:ind w:left="120"/>
              <w:spacing w:after="0"/>
              <w:rPr>
                <w:sz w:val="20"/>
                <w:szCs w:val="20"/>
                <w:color w:val="auto"/>
              </w:rPr>
            </w:pPr>
            <w:r>
              <w:rPr>
                <w:rFonts w:ascii="Arial" w:cs="Arial" w:eastAsia="Arial" w:hAnsi="Arial"/>
                <w:sz w:val="16"/>
                <w:szCs w:val="16"/>
                <w:color w:val="auto"/>
              </w:rPr>
              <w:t>Unrealized gains (losses) on pension benefit obligation,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0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30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92.9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r>
      <w:tr>
        <w:trPr>
          <w:trHeight w:val="209"/>
        </w:trPr>
        <w:tc>
          <w:tcPr>
            <w:tcW w:w="704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30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(163.8)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r>
      <w:tr>
        <w:trPr>
          <w:trHeight w:val="207"/>
        </w:trPr>
        <w:tc>
          <w:tcPr>
            <w:tcW w:w="7040" w:type="dxa"/>
            <w:vAlign w:val="bottom"/>
          </w:tcPr>
          <w:p>
            <w:pPr>
              <w:spacing w:after="0"/>
              <w:rPr>
                <w:sz w:val="20"/>
                <w:szCs w:val="20"/>
                <w:color w:val="auto"/>
              </w:rPr>
            </w:pPr>
            <w:r>
              <w:rPr>
                <w:rFonts w:ascii="Arial" w:cs="Arial" w:eastAsia="Arial" w:hAnsi="Arial"/>
                <w:sz w:val="16"/>
                <w:szCs w:val="16"/>
                <w:color w:val="auto"/>
              </w:rPr>
              <w:t>Comprehensive income attributable to Biogen Inc.</w:t>
            </w:r>
          </w:p>
        </w:tc>
        <w:tc>
          <w:tcPr>
            <w:tcW w:w="300" w:type="dxa"/>
            <w:vAlign w:val="bottom"/>
            <w:shd w:val="clear" w:color="auto" w:fill="DDDDDD"/>
          </w:tcPr>
          <w:p>
            <w:pPr>
              <w:spacing w:after="0"/>
              <w:rPr>
                <w:sz w:val="17"/>
                <w:szCs w:val="17"/>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3,836.8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4,507.2</w:t>
            </w:r>
          </w:p>
        </w:tc>
      </w:tr>
      <w:tr>
        <w:trPr>
          <w:trHeight w:val="219"/>
        </w:trPr>
        <w:tc>
          <w:tcPr>
            <w:tcW w:w="704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30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60.9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233"/>
        </w:trPr>
        <w:tc>
          <w:tcPr>
            <w:tcW w:w="7040" w:type="dxa"/>
            <w:vAlign w:val="bottom"/>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shd w:val="clear" w:color="auto" w:fill="DDDDDD"/>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3,897.7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5,993.3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4,550.1</w:t>
            </w: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(In millions, except per share amounts)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5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As of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40" w:type="dxa"/>
            <w:vAlign w:val="bottom"/>
          </w:tcPr>
          <w:p>
            <w:pPr>
              <w:spacing w:after="0"/>
              <w:rPr>
                <w:sz w:val="18"/>
                <w:szCs w:val="18"/>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2573BA"/>
              </w:rPr>
              <w:t>2020</w:t>
            </w:r>
          </w:p>
        </w:tc>
        <w:tc>
          <w:tcPr>
            <w:tcW w:w="700" w:type="dxa"/>
            <w:vAlign w:val="bottom"/>
            <w:tcBorders>
              <w:bottom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195"/>
        </w:trPr>
        <w:tc>
          <w:tcPr>
            <w:tcW w:w="7540" w:type="dxa"/>
            <w:vAlign w:val="bottom"/>
          </w:tcPr>
          <w:p>
            <w:pPr>
              <w:ind w:left="5260"/>
              <w:spacing w:after="0"/>
              <w:rPr>
                <w:sz w:val="20"/>
                <w:szCs w:val="20"/>
                <w:color w:val="auto"/>
              </w:rPr>
            </w:pPr>
            <w:r>
              <w:rPr>
                <w:rFonts w:ascii="Arial" w:cs="Arial" w:eastAsia="Arial" w:hAnsi="Arial"/>
                <w:sz w:val="16"/>
                <w:szCs w:val="16"/>
                <w:b w:val="1"/>
                <w:bCs w:val="1"/>
                <w:color w:val="auto"/>
              </w:rPr>
              <w:t>ASSETS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1,331.2</w:t>
            </w:r>
          </w:p>
        </w:tc>
        <w:tc>
          <w:tcPr>
            <w:tcW w:w="8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2,913.7</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1,278.9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1,562.2</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1,913.8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1,880.5</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413.5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590.2</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1,068.6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804.2</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881.1</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09"/>
        </w:trPr>
        <w:tc>
          <w:tcPr>
            <w:tcW w:w="75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6,887.1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8,381.8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Marketable securities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772.1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1,408.1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3,411.5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3,247.3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433.3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3,084.3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3,527.4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5,762.1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5,757.8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Deferred tax asset</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1,369.5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3,232.1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2,899.0</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1,252.8</w:t>
            </w:r>
          </w:p>
        </w:tc>
        <w:tc>
          <w:tcPr>
            <w:tcW w:w="0" w:type="dxa"/>
            <w:vAlign w:val="bottom"/>
          </w:tcPr>
          <w:p>
            <w:pPr>
              <w:spacing w:after="0"/>
              <w:rPr>
                <w:sz w:val="1"/>
                <w:szCs w:val="1"/>
                <w:color w:val="auto"/>
              </w:rPr>
            </w:pPr>
          </w:p>
        </w:tc>
      </w:tr>
      <w:tr>
        <w:trPr>
          <w:trHeight w:val="229"/>
        </w:trPr>
        <w:tc>
          <w:tcPr>
            <w:tcW w:w="75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8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6"/>
              </w:rPr>
              <w:t>24,618.9</w:t>
            </w:r>
          </w:p>
        </w:tc>
        <w:tc>
          <w:tcPr>
            <w:tcW w:w="8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27,234.3</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600"/>
              <w:spacing w:after="0"/>
              <w:rPr>
                <w:sz w:val="20"/>
                <w:szCs w:val="20"/>
                <w:color w:val="auto"/>
              </w:rPr>
            </w:pPr>
            <w:r>
              <w:rPr>
                <w:rFonts w:ascii="Arial" w:cs="Arial" w:eastAsia="Arial" w:hAnsi="Arial"/>
                <w:sz w:val="16"/>
                <w:szCs w:val="16"/>
                <w:b w:val="1"/>
                <w:bCs w:val="1"/>
                <w:color w:val="auto"/>
              </w:rPr>
              <w:t>LIABILITIES AND 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Current liabilities: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Current portion of notes payable</w:t>
            </w:r>
          </w:p>
        </w:tc>
        <w:tc>
          <w:tcPr>
            <w:tcW w:w="108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8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1,495.8</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142.0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454.9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530.8</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Accrued expenses and other</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3,145.3</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2,765.8</w:t>
            </w:r>
          </w:p>
        </w:tc>
        <w:tc>
          <w:tcPr>
            <w:tcW w:w="0" w:type="dxa"/>
            <w:vAlign w:val="bottom"/>
          </w:tcPr>
          <w:p>
            <w:pPr>
              <w:spacing w:after="0"/>
              <w:rPr>
                <w:sz w:val="1"/>
                <w:szCs w:val="1"/>
                <w:color w:val="auto"/>
              </w:rPr>
            </w:pPr>
          </w:p>
        </w:tc>
      </w:tr>
      <w:tr>
        <w:trPr>
          <w:trHeight w:val="210"/>
        </w:trPr>
        <w:tc>
          <w:tcPr>
            <w:tcW w:w="75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3,742.2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4,863.8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Notes payable</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7,426.2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4,459.0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1,032.8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2,810.8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402.0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412.7</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1,329.6</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1,348.9</w:t>
            </w:r>
          </w:p>
        </w:tc>
        <w:tc>
          <w:tcPr>
            <w:tcW w:w="0" w:type="dxa"/>
            <w:vAlign w:val="bottom"/>
          </w:tcPr>
          <w:p>
            <w:pPr>
              <w:spacing w:after="0"/>
              <w:rPr>
                <w:sz w:val="1"/>
                <w:szCs w:val="1"/>
                <w:color w:val="auto"/>
              </w:rPr>
            </w:pPr>
          </w:p>
        </w:tc>
      </w:tr>
      <w:tr>
        <w:trPr>
          <w:trHeight w:val="210"/>
        </w:trPr>
        <w:tc>
          <w:tcPr>
            <w:tcW w:w="75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w w:val="96"/>
              </w:rPr>
              <w:t>13,932.8</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13,895.2</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20"/>
                <w:szCs w:val="20"/>
                <w:color w:val="auto"/>
              </w:rPr>
            </w:pPr>
            <w:r>
              <w:rPr>
                <w:rFonts w:ascii="Arial" w:cs="Arial" w:eastAsia="Arial" w:hAnsi="Arial"/>
                <w:sz w:val="16"/>
                <w:szCs w:val="16"/>
                <w:color w:val="auto"/>
              </w:rPr>
              <w:t>Commitments, contingencies and guarantees (Notes 21 and 22)</w:t>
            </w:r>
          </w:p>
        </w:tc>
        <w:tc>
          <w:tcPr>
            <w:tcW w:w="108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Equity:</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0.1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(299.0)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6"/>
              </w:rPr>
              <w:t>13,976.3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16,455.4</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Treasury stock, at cost; 23.8 million and 23.8 million shares, respectively</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w w:val="99"/>
              </w:rPr>
              <w:t>(2,977.1)</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0"/>
        </w:trPr>
        <w:tc>
          <w:tcPr>
            <w:tcW w:w="7540" w:type="dxa"/>
            <w:vAlign w:val="bottom"/>
          </w:tcPr>
          <w:p>
            <w:pPr>
              <w:ind w:left="340"/>
              <w:spacing w:after="0"/>
              <w:rPr>
                <w:sz w:val="20"/>
                <w:szCs w:val="20"/>
                <w:color w:val="auto"/>
              </w:rPr>
            </w:pPr>
            <w:r>
              <w:rPr>
                <w:rFonts w:ascii="Arial" w:cs="Arial" w:eastAsia="Arial" w:hAnsi="Arial"/>
                <w:sz w:val="16"/>
                <w:szCs w:val="16"/>
                <w:color w:val="auto"/>
              </w:rPr>
              <w:t>Total Biogen Inc. shareholders’ equity</w:t>
            </w:r>
          </w:p>
        </w:tc>
        <w:tc>
          <w:tcPr>
            <w:tcW w:w="108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6"/>
              </w:rPr>
              <w:t>10,700.3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13,343.2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(14.2)</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754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108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w w:val="96"/>
              </w:rPr>
              <w:t>10,686.1</w:t>
            </w: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13,339.1</w:t>
            </w:r>
          </w:p>
        </w:tc>
        <w:tc>
          <w:tcPr>
            <w:tcW w:w="0" w:type="dxa"/>
            <w:vAlign w:val="bottom"/>
          </w:tcPr>
          <w:p>
            <w:pPr>
              <w:spacing w:after="0"/>
              <w:rPr>
                <w:sz w:val="1"/>
                <w:szCs w:val="1"/>
                <w:color w:val="auto"/>
              </w:rPr>
            </w:pPr>
          </w:p>
        </w:tc>
      </w:tr>
      <w:tr>
        <w:trPr>
          <w:trHeight w:val="233"/>
        </w:trPr>
        <w:tc>
          <w:tcPr>
            <w:tcW w:w="754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108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6"/>
              </w:rPr>
              <w:t>24,618.9</w:t>
            </w:r>
          </w:p>
        </w:tc>
        <w:tc>
          <w:tcPr>
            <w:tcW w:w="80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27,234.3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(In millions)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net income to net cash flows from operating activities: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Impairment of intangible assets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Acquired in-process research and development</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Contingent consideration</w:t>
      </w:r>
    </w:p>
    <w:p>
      <w:pPr>
        <w:spacing w:after="0" w:line="28" w:lineRule="exact"/>
        <w:rPr>
          <w:sz w:val="20"/>
          <w:szCs w:val="20"/>
          <w:color w:val="auto"/>
        </w:rPr>
      </w:pPr>
    </w:p>
    <w:p>
      <w:pPr>
        <w:ind w:left="360" w:right="1520"/>
        <w:spacing w:after="0" w:line="281" w:lineRule="auto"/>
        <w:rPr>
          <w:sz w:val="20"/>
          <w:szCs w:val="20"/>
          <w:color w:val="auto"/>
        </w:rPr>
      </w:pPr>
      <w:r>
        <w:rPr>
          <w:rFonts w:ascii="Arial" w:cs="Arial" w:eastAsia="Arial" w:hAnsi="Arial"/>
          <w:sz w:val="14"/>
          <w:szCs w:val="14"/>
          <w:color w:val="auto"/>
        </w:rPr>
        <w:t>(Gain)/loss on divestiture of Hillerod, Denmark manufactuing operations Deferred income taxes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Unrealized (gain) loss on strategic investments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Loss on equity method investment</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operating assets and liabilities, net:</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Accounts receivable</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Due from anti-CD20 therapeutic programs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Inventory</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Accrued expenses and other current liabilities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Income tax assets and liabilities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Other changes in operating assets and liabilities, net</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flows provided by operating activities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45" w:lineRule="exact"/>
        <w:rPr>
          <w:sz w:val="20"/>
          <w:szCs w:val="20"/>
          <w:color w:val="auto"/>
        </w:rPr>
      </w:pPr>
    </w:p>
    <w:p>
      <w:pPr>
        <w:ind w:left="140" w:right="2460"/>
        <w:spacing w:after="0" w:line="281" w:lineRule="auto"/>
        <w:rPr>
          <w:sz w:val="20"/>
          <w:szCs w:val="20"/>
          <w:color w:val="auto"/>
        </w:rPr>
      </w:pPr>
      <w:r>
        <w:rPr>
          <w:rFonts w:ascii="Arial" w:cs="Arial" w:eastAsia="Arial" w:hAnsi="Arial"/>
          <w:sz w:val="14"/>
          <w:szCs w:val="14"/>
          <w:color w:val="auto"/>
        </w:rPr>
        <w:t>Proceeds from sales and maturities of marketable securities Purchases of marketable securities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Contingent consideration paid related to Fumapharm AG acquisition</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Nightstar Therapeutics plc, net of cash acquired</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Ionis Pharmaceuticals, Inc. stock</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Sangamo Therapeutics, Inc. stock</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Denali Therapeutics Inc. stock</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Sage Therapeutics, Inc. stock</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divesiture of Hillerod, Denmark manufacturing operations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property, plant and equipment</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Acquired in-process research and development</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Acquisitions of intangible assets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Investment in Samsung Bioepis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of strategic investments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flows provided by (used in) investing activities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treasury stock</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related to issuance of stock for share-based compensation arrangements, net</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borrowings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Repayments of borrowings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contribution (distribution) to noncontrolling interest</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Contingent consideration payments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flows (used in) financing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increase (decrease) in cash and cash equivalents</w:t>
      </w:r>
    </w:p>
    <w:p>
      <w:pPr>
        <w:spacing w:after="0" w:line="28" w:lineRule="exact"/>
        <w:rPr>
          <w:sz w:val="20"/>
          <w:szCs w:val="20"/>
          <w:color w:val="auto"/>
        </w:rPr>
      </w:pPr>
    </w:p>
    <w:p>
      <w:pPr>
        <w:ind w:left="20" w:right="2400"/>
        <w:spacing w:after="0" w:line="318" w:lineRule="auto"/>
        <w:rPr>
          <w:sz w:val="20"/>
          <w:szCs w:val="20"/>
          <w:color w:val="auto"/>
        </w:rPr>
      </w:pPr>
      <w:r>
        <w:rPr>
          <w:rFonts w:ascii="Arial" w:cs="Arial" w:eastAsia="Arial" w:hAnsi="Arial"/>
          <w:sz w:val="14"/>
          <w:szCs w:val="14"/>
          <w:color w:val="auto"/>
        </w:rPr>
        <w:t>Effect of exchange rate changes on cash and cash equivalents Cash and cash equivalents, beginning of the year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end of the year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Borders>
              <w:top w:val="single" w:sz="8" w:color="auto"/>
              <w:bottom w:val="single" w:sz="8" w:color="auto"/>
            </w:tcBorders>
            <w:shd w:val="clear" w:color="auto" w:fill="DDDDDD"/>
          </w:tcPr>
          <w:p>
            <w:pPr>
              <w:spacing w:after="0"/>
              <w:rPr>
                <w:sz w:val="15"/>
                <w:szCs w:val="15"/>
                <w:color w:val="auto"/>
              </w:rPr>
            </w:pPr>
          </w:p>
        </w:tc>
        <w:tc>
          <w:tcPr>
            <w:tcW w:w="10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2020</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359"/>
        </w:trPr>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4,060.5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5,888.5</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4,474.0</w:t>
            </w:r>
          </w:p>
        </w:tc>
      </w:tr>
      <w:tr>
        <w:trPr>
          <w:trHeight w:val="377"/>
        </w:trPr>
        <w:tc>
          <w:tcPr>
            <w:tcW w:w="280" w:type="dxa"/>
            <w:vAlign w:val="bottom"/>
            <w:shd w:val="clear" w:color="auto" w:fill="DDDDDD"/>
          </w:tcPr>
          <w:p>
            <w:pPr>
              <w:spacing w:after="0"/>
              <w:rPr>
                <w:sz w:val="24"/>
                <w:szCs w:val="24"/>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457.2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464.7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650.5</w:t>
            </w:r>
          </w:p>
        </w:tc>
      </w:tr>
      <w:tr>
        <w:trPr>
          <w:trHeight w:val="190"/>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366.1</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198.3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157.5</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149.0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108.3</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(681.8)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(124.8)</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131.2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378"/>
        </w:trPr>
        <w:tc>
          <w:tcPr>
            <w:tcW w:w="280" w:type="dxa"/>
            <w:vAlign w:val="bottom"/>
            <w:shd w:val="clear" w:color="auto" w:fill="DDDDDD"/>
          </w:tcPr>
          <w:p>
            <w:pPr>
              <w:spacing w:after="0"/>
              <w:rPr>
                <w:sz w:val="24"/>
                <w:szCs w:val="24"/>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(205.2)</w:t>
            </w:r>
          </w:p>
        </w:tc>
      </w:tr>
      <w:tr>
        <w:trPr>
          <w:trHeight w:val="190"/>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176.7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154.2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465.5</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321.7</w:t>
            </w:r>
          </w:p>
        </w:tc>
      </w:tr>
      <w:tr>
        <w:trPr>
          <w:trHeight w:val="188"/>
        </w:trPr>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(137.1)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r>
      <w:tr>
        <w:trPr>
          <w:trHeight w:val="183"/>
        </w:trPr>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4,229.8</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7,078.6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6,187.7</w:t>
            </w:r>
          </w:p>
        </w:tc>
      </w:tr>
      <w:tr>
        <w:trPr>
          <w:trHeight w:val="358"/>
        </w:trPr>
        <w:tc>
          <w:tcPr>
            <w:tcW w:w="280" w:type="dxa"/>
            <w:vAlign w:val="bottom"/>
            <w:shd w:val="clear" w:color="auto" w:fill="DDDDDD"/>
          </w:tcPr>
          <w:p>
            <w:pPr>
              <w:spacing w:after="0"/>
              <w:rPr>
                <w:sz w:val="24"/>
                <w:szCs w:val="24"/>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7,299.4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6,007.0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9,173.7</w:t>
            </w:r>
          </w:p>
        </w:tc>
      </w:tr>
      <w:tr>
        <w:trPr>
          <w:trHeight w:val="190"/>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(6,397.7)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(7,694.8)</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(462.9)</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(423.7)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(441.0)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923.7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(424.8)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(770.6)</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(676.6)</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479.3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(26.9)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183"/>
        </w:trPr>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(608.6)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(2,046.3)</w:t>
            </w:r>
          </w:p>
        </w:tc>
      </w:tr>
      <w:tr>
        <w:trPr>
          <w:trHeight w:val="358"/>
        </w:trPr>
        <w:tc>
          <w:tcPr>
            <w:tcW w:w="28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(6,679.1)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(5,868.3)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(4,352.6)</w:t>
            </w:r>
          </w:p>
        </w:tc>
      </w:tr>
      <w:tr>
        <w:trPr>
          <w:trHeight w:val="190"/>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2,967.4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(36.4)</w:t>
            </w:r>
          </w:p>
        </w:tc>
      </w:tr>
      <w:tr>
        <w:trPr>
          <w:trHeight w:val="189"/>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(58.2)</w:t>
            </w:r>
          </w:p>
        </w:tc>
      </w:tr>
      <w:tr>
        <w:trPr>
          <w:trHeight w:val="188"/>
        </w:trPr>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14.6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r>
      <w:tr>
        <w:trPr>
          <w:trHeight w:val="183"/>
        </w:trPr>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(5,272.7)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(5,860.4)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(4,472.0)</w:t>
            </w:r>
          </w:p>
        </w:tc>
      </w:tr>
      <w:tr>
        <w:trPr>
          <w:trHeight w:val="184"/>
        </w:trPr>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(1,651.5)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1,688.7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(330.6)</w:t>
            </w:r>
          </w:p>
        </w:tc>
      </w:tr>
      <w:tr>
        <w:trPr>
          <w:trHeight w:val="188"/>
        </w:trPr>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69.0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r>
      <w:tr>
        <w:trPr>
          <w:trHeight w:val="182"/>
        </w:trPr>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2,913.7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1,224.6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1,573.8</w:t>
            </w:r>
          </w:p>
        </w:tc>
      </w:tr>
      <w:tr>
        <w:trPr>
          <w:trHeight w:val="203"/>
        </w:trPr>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1,331.2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2,913.7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1,224.6</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6420" w:space="720"/>
            <w:col w:w="4100"/>
          </w:cols>
          <w:pgMar w:left="320" w:top="144"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1820" w:type="dxa"/>
            <w:vAlign w:val="bottom"/>
          </w:tcPr>
          <w:p>
            <w:pPr>
              <w:spacing w:after="0"/>
              <w:rPr>
                <w:sz w:val="15"/>
                <w:szCs w:val="15"/>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5"/>
                <w:szCs w:val="15"/>
                <w:color w:val="auto"/>
              </w:rPr>
            </w:pPr>
          </w:p>
        </w:tc>
        <w:tc>
          <w:tcPr>
            <w:tcW w:w="1140" w:type="dxa"/>
            <w:vAlign w:val="bottom"/>
            <w:gridSpan w:val="5"/>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49"/>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12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9"/>
              </w:rPr>
              <w:t>loss</w:t>
            </w:r>
          </w:p>
        </w:tc>
        <w:tc>
          <w:tcPr>
            <w:tcW w:w="100" w:type="dxa"/>
            <w:vAlign w:val="bottom"/>
            <w:tcBorders>
              <w:bottom w:val="single" w:sz="8" w:color="DDDDDD"/>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DDDDDD"/>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DDDDD"/>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DDDDD"/>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Borders>
              <w:bottom w:val="single" w:sz="8" w:color="DDDDDD"/>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320" w:type="dxa"/>
            <w:vAlign w:val="bottom"/>
            <w:gridSpan w:val="3"/>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560" w:type="dxa"/>
            <w:vAlign w:val="bottom"/>
            <w:gridSpan w:val="2"/>
            <w:vMerge w:val="restart"/>
            <w:shd w:val="clear" w:color="auto" w:fill="DDDDDD"/>
          </w:tcPr>
          <w:p>
            <w:pPr>
              <w:jc w:val="right"/>
              <w:spacing w:after="0"/>
              <w:rPr>
                <w:sz w:val="20"/>
                <w:szCs w:val="20"/>
                <w:color w:val="auto"/>
              </w:rPr>
            </w:pPr>
            <w:r>
              <w:rPr>
                <w:rFonts w:ascii="Arial" w:cs="Arial" w:eastAsia="Arial" w:hAnsi="Arial"/>
                <w:sz w:val="14"/>
                <w:szCs w:val="14"/>
                <w:color w:val="2573BA"/>
              </w:rPr>
              <w:t>198.0</w:t>
            </w:r>
          </w:p>
        </w:tc>
        <w:tc>
          <w:tcPr>
            <w:tcW w:w="40" w:type="dxa"/>
            <w:vAlign w:val="bottom"/>
            <w:shd w:val="clear" w:color="auto" w:fill="DDDDDD"/>
          </w:tcPr>
          <w:p>
            <w:pPr>
              <w:spacing w:after="0"/>
              <w:rPr>
                <w:sz w:val="11"/>
                <w:szCs w:val="11"/>
                <w:color w:val="auto"/>
              </w:rPr>
            </w:pPr>
          </w:p>
        </w:tc>
        <w:tc>
          <w:tcPr>
            <w:tcW w:w="260" w:type="dxa"/>
            <w:vAlign w:val="bottom"/>
            <w:gridSpan w:val="2"/>
            <w:vMerge w:val="restart"/>
            <w:shd w:val="clear" w:color="auto" w:fill="DDDDDD"/>
          </w:tcPr>
          <w:p>
            <w:pPr>
              <w:ind w:left="100"/>
              <w:spacing w:after="0"/>
              <w:rPr>
                <w:sz w:val="20"/>
                <w:szCs w:val="20"/>
                <w:color w:val="auto"/>
              </w:rPr>
            </w:pPr>
            <w:r>
              <w:rPr>
                <w:rFonts w:ascii="Arial" w:cs="Arial" w:eastAsia="Arial" w:hAnsi="Arial"/>
                <w:sz w:val="14"/>
                <w:szCs w:val="14"/>
                <w:color w:val="2573BA"/>
              </w:rPr>
              <w:t>$</w:t>
            </w: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200" w:type="dxa"/>
            <w:vAlign w:val="bottom"/>
            <w:gridSpan w:val="2"/>
            <w:vMerge w:val="restart"/>
            <w:shd w:val="clear" w:color="auto" w:fill="DDDDDD"/>
          </w:tcPr>
          <w:p>
            <w:pPr>
              <w:ind w:left="100"/>
              <w:spacing w:after="0"/>
              <w:rPr>
                <w:sz w:val="20"/>
                <w:szCs w:val="20"/>
                <w:color w:val="auto"/>
              </w:rPr>
            </w:pPr>
            <w:r>
              <w:rPr>
                <w:rFonts w:ascii="Arial" w:cs="Arial" w:eastAsia="Arial" w:hAnsi="Arial"/>
                <w:sz w:val="14"/>
                <w:szCs w:val="14"/>
                <w:color w:val="2573BA"/>
              </w:rPr>
              <w:t>$</w:t>
            </w: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80" w:type="dxa"/>
            <w:vAlign w:val="bottom"/>
            <w:gridSpan w:val="2"/>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9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(135.2)</w:t>
            </w:r>
          </w:p>
        </w:tc>
        <w:tc>
          <w:tcPr>
            <w:tcW w:w="10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ind w:right="9"/>
              <w:spacing w:after="0"/>
              <w:rPr>
                <w:sz w:val="20"/>
                <w:szCs w:val="20"/>
                <w:color w:val="auto"/>
              </w:rPr>
            </w:pPr>
            <w:r>
              <w:rPr>
                <w:rFonts w:ascii="Arial" w:cs="Arial" w:eastAsia="Arial" w:hAnsi="Arial"/>
                <w:sz w:val="14"/>
                <w:szCs w:val="14"/>
                <w:color w:val="2573BA"/>
              </w:rPr>
              <w:t>$16,455.4</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(23.8)</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DDDDD"/>
          </w:tcPr>
          <w:p>
            <w:pPr>
              <w:spacing w:after="0"/>
              <w:rPr>
                <w:sz w:val="11"/>
                <w:szCs w:val="11"/>
                <w:color w:val="auto"/>
              </w:rPr>
            </w:pPr>
          </w:p>
        </w:tc>
        <w:tc>
          <w:tcPr>
            <w:tcW w:w="1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2573BA"/>
              </w:rPr>
              <w:t>13,343.2</w:t>
            </w:r>
          </w:p>
        </w:tc>
        <w:tc>
          <w:tcPr>
            <w:tcW w:w="80" w:type="dxa"/>
            <w:vAlign w:val="bottom"/>
            <w:shd w:val="clear" w:color="auto" w:fill="DDDDDD"/>
          </w:tcPr>
          <w:p>
            <w:pPr>
              <w:spacing w:after="0"/>
              <w:rPr>
                <w:sz w:val="11"/>
                <w:szCs w:val="11"/>
                <w:color w:val="auto"/>
              </w:rPr>
            </w:pPr>
          </w:p>
        </w:tc>
        <w:tc>
          <w:tcPr>
            <w:tcW w:w="16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(4.1)</w:t>
            </w:r>
          </w:p>
        </w:tc>
        <w:tc>
          <w:tcPr>
            <w:tcW w:w="8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$13,339.1</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480" w:type="dxa"/>
            <w:vAlign w:val="bottom"/>
            <w:vMerge w:val="continue"/>
            <w:shd w:val="clear" w:color="auto" w:fill="DDDDDD"/>
          </w:tcPr>
          <w:p>
            <w:pPr>
              <w:spacing w:after="0"/>
              <w:rPr>
                <w:sz w:val="15"/>
                <w:szCs w:val="15"/>
                <w:color w:val="auto"/>
              </w:rPr>
            </w:pPr>
          </w:p>
        </w:tc>
        <w:tc>
          <w:tcPr>
            <w:tcW w:w="320" w:type="dxa"/>
            <w:vAlign w:val="bottom"/>
            <w:gridSpan w:val="3"/>
            <w:vMerge w:val="continue"/>
            <w:shd w:val="clear" w:color="auto" w:fill="DDDDDD"/>
          </w:tcPr>
          <w:p>
            <w:pPr>
              <w:spacing w:after="0"/>
              <w:rPr>
                <w:sz w:val="15"/>
                <w:szCs w:val="15"/>
                <w:color w:val="auto"/>
              </w:rPr>
            </w:pPr>
          </w:p>
        </w:tc>
        <w:tc>
          <w:tcPr>
            <w:tcW w:w="340" w:type="dxa"/>
            <w:vAlign w:val="bottom"/>
            <w:vMerge w:val="continue"/>
            <w:shd w:val="clear" w:color="auto" w:fill="DDDDDD"/>
          </w:tcPr>
          <w:p>
            <w:pPr>
              <w:spacing w:after="0"/>
              <w:rPr>
                <w:sz w:val="15"/>
                <w:szCs w:val="15"/>
                <w:color w:val="auto"/>
              </w:rPr>
            </w:pPr>
          </w:p>
        </w:tc>
        <w:tc>
          <w:tcPr>
            <w:tcW w:w="560" w:type="dxa"/>
            <w:vAlign w:val="bottom"/>
            <w:gridSpan w:val="2"/>
            <w:vMerge w:val="continue"/>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60" w:type="dxa"/>
            <w:vAlign w:val="bottom"/>
            <w:gridSpan w:val="2"/>
            <w:vMerge w:val="continue"/>
            <w:shd w:val="clear" w:color="auto" w:fill="DDDDDD"/>
          </w:tcPr>
          <w:p>
            <w:pPr>
              <w:spacing w:after="0"/>
              <w:rPr>
                <w:sz w:val="15"/>
                <w:szCs w:val="15"/>
                <w:color w:val="auto"/>
              </w:rPr>
            </w:pPr>
          </w:p>
        </w:tc>
        <w:tc>
          <w:tcPr>
            <w:tcW w:w="360" w:type="dxa"/>
            <w:vAlign w:val="bottom"/>
            <w:vMerge w:val="continue"/>
            <w:shd w:val="clear" w:color="auto" w:fill="DDDDDD"/>
          </w:tcPr>
          <w:p>
            <w:pPr>
              <w:spacing w:after="0"/>
              <w:rPr>
                <w:sz w:val="15"/>
                <w:szCs w:val="15"/>
                <w:color w:val="auto"/>
              </w:rPr>
            </w:pPr>
          </w:p>
        </w:tc>
        <w:tc>
          <w:tcPr>
            <w:tcW w:w="200" w:type="dxa"/>
            <w:vAlign w:val="bottom"/>
            <w:gridSpan w:val="2"/>
            <w:vMerge w:val="continue"/>
            <w:shd w:val="clear" w:color="auto" w:fill="DDDDDD"/>
          </w:tcPr>
          <w:p>
            <w:pPr>
              <w:spacing w:after="0"/>
              <w:rPr>
                <w:sz w:val="15"/>
                <w:szCs w:val="15"/>
                <w:color w:val="auto"/>
              </w:rPr>
            </w:pPr>
          </w:p>
        </w:tc>
        <w:tc>
          <w:tcPr>
            <w:tcW w:w="580" w:type="dxa"/>
            <w:vAlign w:val="bottom"/>
            <w:vMerge w:val="continue"/>
            <w:shd w:val="clear" w:color="auto" w:fill="DDDDDD"/>
          </w:tcPr>
          <w:p>
            <w:pPr>
              <w:spacing w:after="0"/>
              <w:rPr>
                <w:sz w:val="15"/>
                <w:szCs w:val="15"/>
                <w:color w:val="auto"/>
              </w:rPr>
            </w:pPr>
          </w:p>
        </w:tc>
        <w:tc>
          <w:tcPr>
            <w:tcW w:w="180" w:type="dxa"/>
            <w:vAlign w:val="bottom"/>
            <w:gridSpan w:val="2"/>
            <w:vMerge w:val="continue"/>
            <w:shd w:val="clear" w:color="auto" w:fill="DDDDDD"/>
          </w:tcPr>
          <w:p>
            <w:pPr>
              <w:spacing w:after="0"/>
              <w:rPr>
                <w:sz w:val="15"/>
                <w:szCs w:val="15"/>
                <w:color w:val="auto"/>
              </w:rPr>
            </w:pPr>
          </w:p>
        </w:tc>
        <w:tc>
          <w:tcPr>
            <w:tcW w:w="940" w:type="dxa"/>
            <w:vAlign w:val="bottom"/>
            <w:vMerge w:val="continue"/>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4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50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72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00" w:type="dxa"/>
            <w:vAlign w:val="bottom"/>
            <w:vMerge w:val="continue"/>
            <w:shd w:val="clear" w:color="auto" w:fill="DDDDDD"/>
          </w:tcPr>
          <w:p>
            <w:pPr>
              <w:spacing w:after="0"/>
              <w:rPr>
                <w:sz w:val="15"/>
                <w:szCs w:val="15"/>
                <w:color w:val="auto"/>
              </w:rPr>
            </w:pPr>
          </w:p>
        </w:tc>
        <w:tc>
          <w:tcPr>
            <w:tcW w:w="84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60" w:type="dxa"/>
            <w:vAlign w:val="bottom"/>
            <w:vMerge w:val="continue"/>
            <w:shd w:val="clear" w:color="auto" w:fill="DDDDDD"/>
          </w:tcPr>
          <w:p>
            <w:pPr>
              <w:spacing w:after="0"/>
              <w:rPr>
                <w:sz w:val="15"/>
                <w:szCs w:val="15"/>
                <w:color w:val="auto"/>
              </w:rPr>
            </w:pPr>
          </w:p>
        </w:tc>
        <w:tc>
          <w:tcPr>
            <w:tcW w:w="84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740" w:type="dxa"/>
            <w:vAlign w:val="bottom"/>
            <w:vMerge w:val="continue"/>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40" w:type="dxa"/>
            <w:vAlign w:val="bottom"/>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52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360" w:type="dxa"/>
            <w:vAlign w:val="bottom"/>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40" w:type="dxa"/>
            <w:vAlign w:val="bottom"/>
            <w:gridSpan w:val="2"/>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DDDDD"/>
          </w:tcPr>
          <w:p>
            <w:pPr>
              <w:jc w:val="right"/>
              <w:ind w:right="9"/>
              <w:spacing w:after="0"/>
              <w:rPr>
                <w:sz w:val="20"/>
                <w:szCs w:val="20"/>
                <w:color w:val="auto"/>
              </w:rPr>
            </w:pPr>
            <w:r>
              <w:rPr>
                <w:rFonts w:ascii="Arial" w:cs="Arial" w:eastAsia="Arial" w:hAnsi="Arial"/>
                <w:sz w:val="14"/>
                <w:szCs w:val="14"/>
                <w:color w:val="026DCE"/>
              </w:rPr>
              <w:t>4,000.6</w:t>
            </w:r>
          </w:p>
        </w:tc>
        <w:tc>
          <w:tcPr>
            <w:tcW w:w="80" w:type="dxa"/>
            <w:vAlign w:val="bottom"/>
            <w:shd w:val="clear" w:color="auto" w:fill="DDDDDD"/>
          </w:tcPr>
          <w:p>
            <w:pPr>
              <w:spacing w:after="0"/>
              <w:rPr>
                <w:sz w:val="16"/>
                <w:szCs w:val="16"/>
                <w:color w:val="auto"/>
              </w:rPr>
            </w:pPr>
          </w:p>
        </w:tc>
        <w:tc>
          <w:tcPr>
            <w:tcW w:w="5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026DCE"/>
              </w:rPr>
              <w:t>4,000.6</w:t>
            </w:r>
          </w:p>
        </w:tc>
        <w:tc>
          <w:tcPr>
            <w:tcW w:w="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026DCE"/>
              </w:rPr>
              <w:t>59.9</w:t>
            </w:r>
          </w:p>
        </w:tc>
        <w:tc>
          <w:tcPr>
            <w:tcW w:w="8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4"/>
                <w:szCs w:val="14"/>
                <w:color w:val="026DCE"/>
              </w:rPr>
              <w:t>4,060.5</w:t>
            </w: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Other comprehensive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(163.8)</w:t>
            </w:r>
          </w:p>
        </w:tc>
        <w:tc>
          <w:tcPr>
            <w:tcW w:w="100" w:type="dxa"/>
            <w:vAlign w:val="bottom"/>
            <w:shd w:val="clear" w:color="auto" w:fill="DDDDDD"/>
          </w:tcPr>
          <w:p>
            <w:pPr>
              <w:spacing w:after="0"/>
              <w:rPr>
                <w:sz w:val="13"/>
                <w:szCs w:val="13"/>
                <w:color w:val="auto"/>
              </w:rPr>
            </w:pP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(163.8)</w:t>
            </w: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ind w:right="8"/>
              <w:spacing w:after="0"/>
              <w:rPr>
                <w:sz w:val="20"/>
                <w:szCs w:val="20"/>
                <w:color w:val="auto"/>
              </w:rPr>
            </w:pPr>
            <w:r>
              <w:rPr>
                <w:rFonts w:ascii="Arial" w:cs="Arial" w:eastAsia="Arial" w:hAnsi="Arial"/>
                <w:sz w:val="14"/>
                <w:szCs w:val="14"/>
                <w:color w:val="026DCE"/>
              </w:rPr>
              <w:t>1.0</w:t>
            </w:r>
          </w:p>
        </w:tc>
        <w:tc>
          <w:tcPr>
            <w:tcW w:w="8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(162.8)</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income (loss), net of tax</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4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Distribution to</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(75.0)</w:t>
            </w:r>
          </w:p>
        </w:tc>
        <w:tc>
          <w:tcPr>
            <w:tcW w:w="8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(75.0)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Capital contribution from</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ind w:right="8"/>
              <w:spacing w:after="0"/>
              <w:rPr>
                <w:sz w:val="20"/>
                <w:szCs w:val="20"/>
                <w:color w:val="auto"/>
              </w:rPr>
            </w:pPr>
            <w:r>
              <w:rPr>
                <w:rFonts w:ascii="Arial" w:cs="Arial" w:eastAsia="Arial" w:hAnsi="Arial"/>
                <w:sz w:val="14"/>
                <w:szCs w:val="14"/>
                <w:color w:val="026DCE"/>
              </w:rPr>
              <w:t>4.0</w:t>
            </w:r>
          </w:p>
        </w:tc>
        <w:tc>
          <w:tcPr>
            <w:tcW w:w="8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Repurchase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 2020</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(400.0)</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(400.0)</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(400.0)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Program, at 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 2020</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(60.8)</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(339.2)</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400.0</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Program, at 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Repurchase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(16.7)</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(5,000.0)</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(5,000.0)</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(5,000.0)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(16.7)</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(121.3)</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(4,878.7)</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16.7</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5,000.0</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Repurchase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 March</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2019 Share Repurchase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(4.1)</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(1,279.1)</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(1,279.1)</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(1,279.1)</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Program, at 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 March</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2019 Share Repurchase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(4.1)</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(71.0)</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(1,208.1)</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4.1</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1,279.1</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Program, at 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Issuance of common stock</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under stock option and</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0.2</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49.3</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026DCE"/>
              </w:rPr>
              <w:t>49.3</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49.3</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stock purchase plans</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Issuance of common stock</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0.4</w:t>
            </w: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(53.7)</w:t>
            </w:r>
          </w:p>
        </w:tc>
        <w:tc>
          <w:tcPr>
            <w:tcW w:w="80" w:type="dxa"/>
            <w:vAlign w:val="bottom"/>
            <w:shd w:val="clear" w:color="auto" w:fill="DDDDDD"/>
          </w:tcPr>
          <w:p>
            <w:pPr>
              <w:spacing w:after="0"/>
              <w:rPr>
                <w:sz w:val="13"/>
                <w:szCs w:val="13"/>
                <w:color w:val="auto"/>
              </w:rPr>
            </w:pP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(53.7)</w:t>
            </w: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(53.7)</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under stock award plan</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Compensation expense</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related to share-based</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204.5</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ind w:left="74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026DCE"/>
              </w:rPr>
              <w:t>204.5</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204.5</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payments</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Other</w:t>
            </w:r>
          </w:p>
        </w:tc>
        <w:tc>
          <w:tcPr>
            <w:tcW w:w="480" w:type="dxa"/>
            <w:vAlign w:val="bottom"/>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40" w:type="dxa"/>
            <w:vAlign w:val="bottom"/>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80" w:type="dxa"/>
            <w:vAlign w:val="bottom"/>
            <w:shd w:val="clear" w:color="auto" w:fill="DDDDDD"/>
          </w:tcPr>
          <w:p>
            <w:pPr>
              <w:spacing w:after="0"/>
              <w:rPr>
                <w:sz w:val="16"/>
                <w:szCs w:val="16"/>
                <w:color w:val="auto"/>
              </w:rPr>
            </w:pPr>
          </w:p>
        </w:tc>
        <w:tc>
          <w:tcPr>
            <w:tcW w:w="4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(0.7)</w:t>
            </w:r>
          </w:p>
        </w:tc>
        <w:tc>
          <w:tcPr>
            <w:tcW w:w="1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40" w:type="dxa"/>
            <w:vAlign w:val="bottom"/>
            <w:gridSpan w:val="2"/>
            <w:shd w:val="clear" w:color="auto" w:fill="DDDDDD"/>
          </w:tcPr>
          <w:p>
            <w:pPr>
              <w:ind w:left="740"/>
              <w:spacing w:after="0"/>
              <w:rPr>
                <w:sz w:val="20"/>
                <w:szCs w:val="20"/>
                <w:color w:val="auto"/>
              </w:rPr>
            </w:pPr>
            <w:r>
              <w:rPr>
                <w:rFonts w:ascii="Arial" w:cs="Arial" w:eastAsia="Arial" w:hAnsi="Arial"/>
                <w:sz w:val="14"/>
                <w:szCs w:val="14"/>
                <w:color w:val="2573BA"/>
              </w:rPr>
              <w:t>—</w:t>
            </w:r>
          </w:p>
        </w:tc>
        <w:tc>
          <w:tcPr>
            <w:tcW w:w="8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5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2573BA"/>
              </w:rPr>
              <w:t>—</w:t>
            </w:r>
          </w:p>
        </w:tc>
        <w:tc>
          <w:tcPr>
            <w:tcW w:w="8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(0.7)</w:t>
            </w:r>
          </w:p>
        </w:tc>
        <w:tc>
          <w:tcPr>
            <w:tcW w:w="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9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(0.7)</w:t>
            </w:r>
          </w:p>
        </w:tc>
        <w:tc>
          <w:tcPr>
            <w:tcW w:w="0" w:type="dxa"/>
            <w:vAlign w:val="bottom"/>
          </w:tcPr>
          <w:p>
            <w:pPr>
              <w:spacing w:after="0"/>
              <w:rPr>
                <w:sz w:val="1"/>
                <w:szCs w:val="1"/>
                <w:color w:val="auto"/>
              </w:rPr>
            </w:pPr>
          </w:p>
        </w:tc>
      </w:tr>
      <w:tr>
        <w:trPr>
          <w:trHeight w:val="128"/>
        </w:trPr>
        <w:tc>
          <w:tcPr>
            <w:tcW w:w="182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480" w:type="dxa"/>
            <w:vAlign w:val="bottom"/>
            <w:tcBorders>
              <w:top w:val="single" w:sz="8" w:color="auto"/>
            </w:tcBorders>
            <w:vMerge w:val="restart"/>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2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220" w:type="dxa"/>
            <w:vAlign w:val="bottom"/>
            <w:tcBorders>
              <w:top w:val="single" w:sz="8" w:color="auto"/>
            </w:tcBorders>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340" w:type="dxa"/>
            <w:vAlign w:val="bottom"/>
            <w:tcBorders>
              <w:top w:val="single" w:sz="8" w:color="auto"/>
            </w:tcBorders>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80" w:type="dxa"/>
            <w:vAlign w:val="bottom"/>
            <w:tcBorders>
              <w:top w:val="single" w:sz="8" w:color="DDDDDD"/>
            </w:tcBorders>
            <w:shd w:val="clear" w:color="auto" w:fill="DDDDDD"/>
          </w:tcPr>
          <w:p>
            <w:pPr>
              <w:spacing w:after="0"/>
              <w:rPr>
                <w:sz w:val="11"/>
                <w:szCs w:val="11"/>
                <w:color w:val="auto"/>
              </w:rPr>
            </w:pPr>
          </w:p>
        </w:tc>
        <w:tc>
          <w:tcPr>
            <w:tcW w:w="4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176.2</w:t>
            </w:r>
          </w:p>
        </w:tc>
        <w:tc>
          <w:tcPr>
            <w:tcW w:w="40" w:type="dxa"/>
            <w:vAlign w:val="bottom"/>
            <w:tcBorders>
              <w:top w:val="single" w:sz="8" w:color="auto"/>
            </w:tcBorders>
            <w:shd w:val="clear" w:color="auto" w:fill="DDDDDD"/>
          </w:tcPr>
          <w:p>
            <w:pPr>
              <w:spacing w:after="0"/>
              <w:rPr>
                <w:sz w:val="11"/>
                <w:szCs w:val="11"/>
                <w:color w:val="auto"/>
              </w:rPr>
            </w:pPr>
          </w:p>
        </w:tc>
        <w:tc>
          <w:tcPr>
            <w:tcW w:w="80" w:type="dxa"/>
            <w:vAlign w:val="bottom"/>
            <w:tcBorders>
              <w:top w:val="single" w:sz="8" w:color="DDDDDD"/>
            </w:tcBorders>
            <w:shd w:val="clear" w:color="auto" w:fill="DDDDDD"/>
          </w:tcPr>
          <w:p>
            <w:pPr>
              <w:spacing w:after="0"/>
              <w:rPr>
                <w:sz w:val="11"/>
                <w:szCs w:val="11"/>
                <w:color w:val="auto"/>
              </w:rPr>
            </w:pPr>
          </w:p>
        </w:tc>
        <w:tc>
          <w:tcPr>
            <w:tcW w:w="180" w:type="dxa"/>
            <w:vAlign w:val="bottom"/>
            <w:tcBorders>
              <w:top w:val="single" w:sz="8" w:color="auto"/>
            </w:tcBorders>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3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80" w:type="dxa"/>
            <w:vAlign w:val="bottom"/>
            <w:tcBorders>
              <w:top w:val="single" w:sz="8" w:color="DDDDDD"/>
            </w:tcBorders>
            <w:shd w:val="clear" w:color="auto" w:fill="DDDDDD"/>
          </w:tcPr>
          <w:p>
            <w:pPr>
              <w:spacing w:after="0"/>
              <w:rPr>
                <w:sz w:val="11"/>
                <w:szCs w:val="11"/>
                <w:color w:val="auto"/>
              </w:rPr>
            </w:pPr>
          </w:p>
        </w:tc>
        <w:tc>
          <w:tcPr>
            <w:tcW w:w="120" w:type="dxa"/>
            <w:vAlign w:val="bottom"/>
            <w:tcBorders>
              <w:top w:val="single" w:sz="8" w:color="auto"/>
            </w:tcBorders>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5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top w:val="single" w:sz="8" w:color="DDDDDD"/>
            </w:tcBorders>
            <w:shd w:val="clear" w:color="auto" w:fill="DDDDDD"/>
          </w:tcPr>
          <w:p>
            <w:pPr>
              <w:spacing w:after="0"/>
              <w:rPr>
                <w:sz w:val="11"/>
                <w:szCs w:val="11"/>
                <w:color w:val="auto"/>
              </w:rPr>
            </w:pPr>
          </w:p>
        </w:tc>
        <w:tc>
          <w:tcPr>
            <w:tcW w:w="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94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(299.0)</w:t>
            </w:r>
          </w:p>
        </w:tc>
        <w:tc>
          <w:tcPr>
            <w:tcW w:w="100" w:type="dxa"/>
            <w:vAlign w:val="bottom"/>
            <w:tcBorders>
              <w:top w:val="single" w:sz="8" w:color="DDDDDD"/>
            </w:tcBorders>
            <w:shd w:val="clear" w:color="auto" w:fill="DDDDDD"/>
          </w:tcPr>
          <w:p>
            <w:pPr>
              <w:spacing w:after="0"/>
              <w:rPr>
                <w:sz w:val="11"/>
                <w:szCs w:val="11"/>
                <w:color w:val="auto"/>
              </w:rPr>
            </w:pPr>
          </w:p>
        </w:tc>
        <w:tc>
          <w:tcPr>
            <w:tcW w:w="740" w:type="dxa"/>
            <w:vAlign w:val="bottom"/>
            <w:tcBorders>
              <w:top w:val="single" w:sz="8" w:color="auto"/>
            </w:tcBorders>
            <w:vMerge w:val="restart"/>
            <w:shd w:val="clear" w:color="auto" w:fill="DDDDDD"/>
          </w:tcPr>
          <w:p>
            <w:pPr>
              <w:jc w:val="right"/>
              <w:ind w:right="9"/>
              <w:spacing w:after="0"/>
              <w:rPr>
                <w:sz w:val="20"/>
                <w:szCs w:val="20"/>
                <w:color w:val="auto"/>
              </w:rPr>
            </w:pPr>
            <w:r>
              <w:rPr>
                <w:rFonts w:ascii="Arial" w:cs="Arial" w:eastAsia="Arial" w:hAnsi="Arial"/>
                <w:sz w:val="14"/>
                <w:szCs w:val="14"/>
                <w:color w:val="2573BA"/>
              </w:rPr>
              <w:t>$13,976.3</w:t>
            </w:r>
          </w:p>
        </w:tc>
        <w:tc>
          <w:tcPr>
            <w:tcW w:w="80" w:type="dxa"/>
            <w:vAlign w:val="bottom"/>
            <w:tcBorders>
              <w:top w:val="single" w:sz="8" w:color="DDDDDD"/>
            </w:tcBorders>
            <w:shd w:val="clear" w:color="auto" w:fill="DDDDDD"/>
          </w:tcPr>
          <w:p>
            <w:pPr>
              <w:spacing w:after="0"/>
              <w:rPr>
                <w:sz w:val="11"/>
                <w:szCs w:val="11"/>
                <w:color w:val="auto"/>
              </w:rPr>
            </w:pPr>
          </w:p>
        </w:tc>
        <w:tc>
          <w:tcPr>
            <w:tcW w:w="5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(23.8)</w:t>
            </w:r>
          </w:p>
        </w:tc>
        <w:tc>
          <w:tcPr>
            <w:tcW w:w="80" w:type="dxa"/>
            <w:vAlign w:val="bottom"/>
            <w:tcBorders>
              <w:top w:val="single" w:sz="8" w:color="DDDDDD"/>
            </w:tcBorders>
            <w:shd w:val="clear" w:color="auto" w:fill="DDDDDD"/>
          </w:tcPr>
          <w:p>
            <w:pPr>
              <w:spacing w:after="0"/>
              <w:rPr>
                <w:sz w:val="11"/>
                <w:szCs w:val="11"/>
                <w:color w:val="auto"/>
              </w:rPr>
            </w:pPr>
          </w:p>
        </w:tc>
        <w:tc>
          <w:tcPr>
            <w:tcW w:w="72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$(2,977.1)</w:t>
            </w:r>
          </w:p>
        </w:tc>
        <w:tc>
          <w:tcPr>
            <w:tcW w:w="80" w:type="dxa"/>
            <w:vAlign w:val="bottom"/>
            <w:tcBorders>
              <w:top w:val="single" w:sz="8" w:color="DDDDDD"/>
            </w:tcBorders>
            <w:shd w:val="clear" w:color="auto" w:fill="DDDDDD"/>
          </w:tcPr>
          <w:p>
            <w:pPr>
              <w:spacing w:after="0"/>
              <w:rPr>
                <w:sz w:val="11"/>
                <w:szCs w:val="11"/>
                <w:color w:val="auto"/>
              </w:rPr>
            </w:pPr>
          </w:p>
        </w:tc>
        <w:tc>
          <w:tcPr>
            <w:tcW w:w="1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40" w:type="dxa"/>
            <w:vAlign w:val="bottom"/>
            <w:tcBorders>
              <w:top w:val="single" w:sz="8" w:color="auto"/>
            </w:tcBorders>
            <w:vMerge w:val="restart"/>
            <w:shd w:val="clear" w:color="auto" w:fill="DDDDDD"/>
          </w:tcPr>
          <w:p>
            <w:pPr>
              <w:jc w:val="right"/>
              <w:ind w:right="10"/>
              <w:spacing w:after="0"/>
              <w:rPr>
                <w:sz w:val="20"/>
                <w:szCs w:val="20"/>
                <w:color w:val="auto"/>
              </w:rPr>
            </w:pPr>
            <w:r>
              <w:rPr>
                <w:rFonts w:ascii="Arial" w:cs="Arial" w:eastAsia="Arial" w:hAnsi="Arial"/>
                <w:sz w:val="14"/>
                <w:szCs w:val="14"/>
                <w:color w:val="2573BA"/>
              </w:rPr>
              <w:t>10,700.3</w:t>
            </w:r>
          </w:p>
        </w:tc>
        <w:tc>
          <w:tcPr>
            <w:tcW w:w="80" w:type="dxa"/>
            <w:vAlign w:val="bottom"/>
            <w:tcBorders>
              <w:top w:val="single" w:sz="8" w:color="DDDDDD"/>
            </w:tcBorders>
            <w:shd w:val="clear" w:color="auto" w:fill="DDDDDD"/>
          </w:tcPr>
          <w:p>
            <w:pPr>
              <w:spacing w:after="0"/>
              <w:rPr>
                <w:sz w:val="11"/>
                <w:szCs w:val="11"/>
                <w:color w:val="auto"/>
              </w:rPr>
            </w:pPr>
          </w:p>
        </w:tc>
        <w:tc>
          <w:tcPr>
            <w:tcW w:w="160" w:type="dxa"/>
            <w:vAlign w:val="bottom"/>
            <w:tcBorders>
              <w:top w:val="single" w:sz="8" w:color="auto"/>
            </w:tcBorders>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84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(14.2)</w:t>
            </w:r>
          </w:p>
        </w:tc>
        <w:tc>
          <w:tcPr>
            <w:tcW w:w="80" w:type="dxa"/>
            <w:vAlign w:val="bottom"/>
            <w:tcBorders>
              <w:top w:val="single" w:sz="8" w:color="DDDDDD"/>
            </w:tcBorders>
            <w:shd w:val="clear" w:color="auto" w:fill="DDDDDD"/>
          </w:tcPr>
          <w:p>
            <w:pPr>
              <w:spacing w:after="0"/>
              <w:rPr>
                <w:sz w:val="11"/>
                <w:szCs w:val="11"/>
                <w:color w:val="auto"/>
              </w:rPr>
            </w:pPr>
          </w:p>
        </w:tc>
        <w:tc>
          <w:tcPr>
            <w:tcW w:w="74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4"/>
                <w:szCs w:val="14"/>
                <w:color w:val="2573BA"/>
              </w:rPr>
              <w:t>$10,686.1</w:t>
            </w:r>
          </w:p>
        </w:tc>
        <w:tc>
          <w:tcPr>
            <w:tcW w:w="0" w:type="dxa"/>
            <w:vAlign w:val="bottom"/>
          </w:tcPr>
          <w:p>
            <w:pPr>
              <w:spacing w:after="0"/>
              <w:rPr>
                <w:sz w:val="1"/>
                <w:szCs w:val="1"/>
                <w:color w:val="auto"/>
              </w:rPr>
            </w:pPr>
          </w:p>
        </w:tc>
      </w:tr>
      <w:tr>
        <w:trPr>
          <w:trHeight w:val="168"/>
        </w:trPr>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vMerge w:val="continue"/>
            <w:shd w:val="clear" w:color="auto" w:fill="DDDDDD"/>
          </w:tcPr>
          <w:p>
            <w:pPr>
              <w:spacing w:after="0"/>
              <w:rPr>
                <w:sz w:val="14"/>
                <w:szCs w:val="14"/>
                <w:color w:val="auto"/>
              </w:rPr>
            </w:pPr>
          </w:p>
        </w:tc>
        <w:tc>
          <w:tcPr>
            <w:tcW w:w="20" w:type="dxa"/>
            <w:vAlign w:val="bottom"/>
            <w:tcBorders>
              <w:bottom w:val="single" w:sz="8" w:color="auto"/>
            </w:tcBorders>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220" w:type="dxa"/>
            <w:vAlign w:val="bottom"/>
            <w:tcBorders>
              <w:bottom w:val="single" w:sz="8" w:color="auto"/>
            </w:tcBorders>
            <w:vMerge w:val="continue"/>
            <w:shd w:val="clear" w:color="auto" w:fill="DDDDDD"/>
          </w:tcPr>
          <w:p>
            <w:pPr>
              <w:spacing w:after="0"/>
              <w:rPr>
                <w:sz w:val="14"/>
                <w:szCs w:val="14"/>
                <w:color w:val="auto"/>
              </w:rPr>
            </w:pPr>
          </w:p>
        </w:tc>
        <w:tc>
          <w:tcPr>
            <w:tcW w:w="34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480" w:type="dxa"/>
            <w:vAlign w:val="bottom"/>
            <w:tcBorders>
              <w:bottom w:val="single" w:sz="8" w:color="auto"/>
            </w:tcBorders>
            <w:vMerge w:val="continue"/>
            <w:shd w:val="clear" w:color="auto" w:fill="DDDDDD"/>
          </w:tcPr>
          <w:p>
            <w:pPr>
              <w:spacing w:after="0"/>
              <w:rPr>
                <w:sz w:val="14"/>
                <w:szCs w:val="14"/>
                <w:color w:val="auto"/>
              </w:rPr>
            </w:pPr>
          </w:p>
        </w:tc>
        <w:tc>
          <w:tcPr>
            <w:tcW w:w="40" w:type="dxa"/>
            <w:vAlign w:val="bottom"/>
            <w:tcBorders>
              <w:bottom w:val="single" w:sz="8" w:color="auto"/>
            </w:tcBorders>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180" w:type="dxa"/>
            <w:vAlign w:val="bottom"/>
            <w:tcBorders>
              <w:bottom w:val="single" w:sz="8" w:color="auto"/>
            </w:tcBorders>
            <w:vMerge w:val="continue"/>
            <w:shd w:val="clear" w:color="auto" w:fill="DDDDDD"/>
          </w:tcPr>
          <w:p>
            <w:pPr>
              <w:spacing w:after="0"/>
              <w:rPr>
                <w:sz w:val="14"/>
                <w:szCs w:val="14"/>
                <w:color w:val="auto"/>
              </w:rPr>
            </w:pPr>
          </w:p>
        </w:tc>
        <w:tc>
          <w:tcPr>
            <w:tcW w:w="36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120" w:type="dxa"/>
            <w:vAlign w:val="bottom"/>
            <w:tcBorders>
              <w:bottom w:val="single" w:sz="8" w:color="auto"/>
            </w:tcBorders>
            <w:vMerge w:val="continue"/>
            <w:shd w:val="clear" w:color="auto" w:fill="DDDDDD"/>
          </w:tcPr>
          <w:p>
            <w:pPr>
              <w:spacing w:after="0"/>
              <w:rPr>
                <w:sz w:val="14"/>
                <w:szCs w:val="14"/>
                <w:color w:val="auto"/>
              </w:rPr>
            </w:pPr>
          </w:p>
        </w:tc>
        <w:tc>
          <w:tcPr>
            <w:tcW w:w="580" w:type="dxa"/>
            <w:vAlign w:val="bottom"/>
            <w:tcBorders>
              <w:bottom w:val="single" w:sz="8" w:color="auto"/>
            </w:tcBorders>
            <w:vMerge w:val="continue"/>
            <w:shd w:val="clear" w:color="auto" w:fill="DDDDDD"/>
          </w:tcPr>
          <w:p>
            <w:pPr>
              <w:spacing w:after="0"/>
              <w:rPr>
                <w:sz w:val="14"/>
                <w:szCs w:val="14"/>
                <w:color w:val="auto"/>
              </w:rPr>
            </w:pPr>
          </w:p>
        </w:tc>
        <w:tc>
          <w:tcPr>
            <w:tcW w:w="100" w:type="dxa"/>
            <w:vAlign w:val="bottom"/>
            <w:tcBorders>
              <w:bottom w:val="single" w:sz="8" w:color="DDDDDD"/>
            </w:tcBorders>
            <w:shd w:val="clear" w:color="auto" w:fill="DDDDDD"/>
          </w:tcPr>
          <w:p>
            <w:pPr>
              <w:spacing w:after="0"/>
              <w:rPr>
                <w:sz w:val="14"/>
                <w:szCs w:val="14"/>
                <w:color w:val="auto"/>
              </w:rPr>
            </w:pPr>
          </w:p>
        </w:tc>
        <w:tc>
          <w:tcPr>
            <w:tcW w:w="80" w:type="dxa"/>
            <w:vAlign w:val="bottom"/>
            <w:tcBorders>
              <w:bottom w:val="single" w:sz="8" w:color="auto"/>
            </w:tcBorders>
            <w:vMerge w:val="continue"/>
            <w:shd w:val="clear" w:color="auto" w:fill="DDDDDD"/>
          </w:tcPr>
          <w:p>
            <w:pPr>
              <w:spacing w:after="0"/>
              <w:rPr>
                <w:sz w:val="14"/>
                <w:szCs w:val="14"/>
                <w:color w:val="auto"/>
              </w:rPr>
            </w:pPr>
          </w:p>
        </w:tc>
        <w:tc>
          <w:tcPr>
            <w:tcW w:w="940" w:type="dxa"/>
            <w:vAlign w:val="bottom"/>
            <w:tcBorders>
              <w:bottom w:val="single" w:sz="8" w:color="auto"/>
            </w:tcBorders>
            <w:vMerge w:val="continue"/>
            <w:shd w:val="clear" w:color="auto" w:fill="DDDDDD"/>
          </w:tcPr>
          <w:p>
            <w:pPr>
              <w:spacing w:after="0"/>
              <w:rPr>
                <w:sz w:val="14"/>
                <w:szCs w:val="14"/>
                <w:color w:val="auto"/>
              </w:rPr>
            </w:pPr>
          </w:p>
        </w:tc>
        <w:tc>
          <w:tcPr>
            <w:tcW w:w="100" w:type="dxa"/>
            <w:vAlign w:val="bottom"/>
            <w:tcBorders>
              <w:bottom w:val="single" w:sz="8" w:color="DDDDDD"/>
            </w:tcBorders>
            <w:shd w:val="clear" w:color="auto" w:fill="DDDDDD"/>
          </w:tcPr>
          <w:p>
            <w:pPr>
              <w:spacing w:after="0"/>
              <w:rPr>
                <w:sz w:val="14"/>
                <w:szCs w:val="14"/>
                <w:color w:val="auto"/>
              </w:rPr>
            </w:pPr>
          </w:p>
        </w:tc>
        <w:tc>
          <w:tcPr>
            <w:tcW w:w="74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50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72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100" w:type="dxa"/>
            <w:vAlign w:val="bottom"/>
            <w:tcBorders>
              <w:bottom w:val="single" w:sz="8" w:color="auto"/>
            </w:tcBorders>
            <w:vMerge w:val="continue"/>
            <w:shd w:val="clear" w:color="auto" w:fill="DDDDDD"/>
          </w:tcPr>
          <w:p>
            <w:pPr>
              <w:spacing w:after="0"/>
              <w:rPr>
                <w:sz w:val="14"/>
                <w:szCs w:val="14"/>
                <w:color w:val="auto"/>
              </w:rPr>
            </w:pPr>
          </w:p>
        </w:tc>
        <w:tc>
          <w:tcPr>
            <w:tcW w:w="84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160" w:type="dxa"/>
            <w:vAlign w:val="bottom"/>
            <w:tcBorders>
              <w:bottom w:val="single" w:sz="8" w:color="auto"/>
            </w:tcBorders>
            <w:vMerge w:val="continue"/>
            <w:shd w:val="clear" w:color="auto" w:fill="DDDDDD"/>
          </w:tcPr>
          <w:p>
            <w:pPr>
              <w:spacing w:after="0"/>
              <w:rPr>
                <w:sz w:val="14"/>
                <w:szCs w:val="14"/>
                <w:color w:val="auto"/>
              </w:rPr>
            </w:pPr>
          </w:p>
        </w:tc>
        <w:tc>
          <w:tcPr>
            <w:tcW w:w="840" w:type="dxa"/>
            <w:vAlign w:val="bottom"/>
            <w:tcBorders>
              <w:bottom w:val="single" w:sz="8" w:color="auto"/>
            </w:tcBorders>
            <w:vMerge w:val="continue"/>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740" w:type="dxa"/>
            <w:vAlign w:val="bottom"/>
            <w:tcBorders>
              <w:bottom w:val="single" w:sz="8" w:color="auto"/>
            </w:tcBorders>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5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bottom w:val="single" w:sz="8" w:color="auto"/>
            </w:tcBorders>
          </w:tcPr>
          <w:p>
            <w:pPr>
              <w:spacing w:after="0" w:line="20" w:lineRule="exact"/>
              <w:rPr>
                <w:sz w:val="1"/>
                <w:szCs w:val="1"/>
                <w:color w:val="auto"/>
              </w:rPr>
            </w:pPr>
          </w:p>
        </w:tc>
        <w:tc>
          <w:tcPr>
            <w:tcW w:w="9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7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65" w:lineRule="auto"/>
        <w:rPr>
          <w:sz w:val="20"/>
          <w:szCs w:val="20"/>
          <w:color w:val="auto"/>
        </w:rPr>
      </w:pPr>
      <w:r>
        <w:rPr>
          <w:rFonts w:ascii="Arial" w:cs="Arial" w:eastAsia="Arial" w:hAnsi="Arial"/>
          <w:sz w:val="22"/>
          <w:szCs w:val="22"/>
          <w:b w:val="1"/>
          <w:bCs w:val="1"/>
          <w:color w:val="1C5A7D"/>
        </w:rPr>
        <w:t>BIOGEN INC. AND SUBSIDIARIES CONSOLIDATED STATEMENTS OF EQUITY - (Continued) (In millions)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80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221.0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(240.4)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$16,257.0</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13,039.6</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$13,031.6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6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5,888.5</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5,888.5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5,888.5</w:t>
            </w: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(3,599.4)</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(2,036.9)</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Compensation related to</w:t>
            </w:r>
          </w:p>
        </w:tc>
        <w:tc>
          <w:tcPr>
            <w:tcW w:w="50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191.2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191.2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color w:val="auto"/>
              </w:rPr>
              <w:t>share-based payments</w:t>
            </w:r>
          </w:p>
        </w:tc>
        <w:tc>
          <w:tcPr>
            <w:tcW w:w="5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(135.2)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16,455.4</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13,343.2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$13,339.1</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2019</w:t>
            </w:r>
          </w:p>
        </w:tc>
        <w:tc>
          <w:tcPr>
            <w:tcW w:w="60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65" w:lineRule="auto"/>
        <w:rPr>
          <w:sz w:val="20"/>
          <w:szCs w:val="20"/>
          <w:color w:val="auto"/>
        </w:rPr>
      </w:pPr>
      <w:r>
        <w:rPr>
          <w:rFonts w:ascii="Arial" w:cs="Arial" w:eastAsia="Arial" w:hAnsi="Arial"/>
          <w:sz w:val="22"/>
          <w:szCs w:val="22"/>
          <w:b w:val="1"/>
          <w:bCs w:val="1"/>
          <w:color w:val="1C5A7D"/>
        </w:rPr>
        <w:t>BIOGEN INC. AND SUBSIDIARIES CONSOLIDATED STATEMENTS OF EQUITY - (Continued) (In millions)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80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97.8</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(318.4)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$15,810.4</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12,612.8</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$12,598.1</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6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4,430.7</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4,430.7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43.3</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4,474.0</w:t>
            </w: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76.5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Distribution to</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(1,352.6)</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(1,259.8)</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2016</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2016</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(2,828.9)</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Compensation expense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related to share-based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payments</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Adoption of new accounting</w:t>
            </w:r>
          </w:p>
        </w:tc>
        <w:tc>
          <w:tcPr>
            <w:tcW w:w="50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color w:val="auto"/>
              </w:rPr>
              <w:t>guidance</w:t>
            </w:r>
          </w:p>
        </w:tc>
        <w:tc>
          <w:tcPr>
            <w:tcW w:w="5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221.0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(240.4)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16,257.0</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13,039.6</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$13,031.6</w:t>
            </w: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2018</w:t>
            </w:r>
          </w:p>
        </w:tc>
        <w:tc>
          <w:tcPr>
            <w:tcW w:w="60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22"/>
          <w:szCs w:val="22"/>
          <w:b w:val="1"/>
          <w:bCs w:val="1"/>
          <w:color w:val="578196"/>
        </w:rPr>
      </w:pPr>
      <w:r>
        <w:rPr>
          <w:rFonts w:ascii="Arial" w:cs="Arial" w:eastAsia="Arial" w:hAnsi="Arial"/>
          <w:sz w:val="22"/>
          <w:szCs w:val="22"/>
          <w:b w:val="1"/>
          <w:bCs w:val="1"/>
          <w:color w:val="578196"/>
        </w:rPr>
        <w:t>Summary of Significant Accounting Policies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Business Overview</w:t>
      </w:r>
    </w:p>
    <w:p>
      <w:pPr>
        <w:spacing w:after="0" w:line="193" w:lineRule="exact"/>
        <w:rPr>
          <w:sz w:val="20"/>
          <w:szCs w:val="20"/>
          <w:color w:val="auto"/>
        </w:rPr>
      </w:pPr>
    </w:p>
    <w:p>
      <w:pPr>
        <w:ind w:right="240" w:firstLine="405"/>
        <w:spacing w:after="0" w:line="252"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neuromuscular disorders, including spinal muscular atrophy (SMA) and amyotrophic lateral sclerosis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5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(PPMS) and relapsing MS (RMS); and other potential anti-CD20 therapies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51"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and have an option to acquire exclusive rights to commercialize these products in China. Additionally, we have exclusive rights to commercialize two potential ophthalmology biosimilar products, SB11, a proposed ranibizumab biosimilar referencing LUCENTIS, and SB15, a proposed aflibercept biosimilar referencing EYLEA, in major markets worldwide, including the United States (U.S.), Canada, Europe, Japan and Australia. For additional information on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Consolidation</w:t>
      </w:r>
    </w:p>
    <w:p>
      <w:pPr>
        <w:spacing w:after="0" w:line="112"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100.0% of the economics, we record net income (loss) attributable to noncontrolling interests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15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Use of Estimates</w:t>
      </w:r>
    </w:p>
    <w:p>
      <w:pPr>
        <w:spacing w:after="0" w:line="126"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The preparation of our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expenses. Actual results may differ from these estimates.</w:t>
      </w:r>
    </w:p>
    <w:p>
      <w:pPr>
        <w:spacing w:after="0" w:line="7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expenses, reserves and allowances, manufacturing, clinical trials, research and development costs and employee-related amounts,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 We have made estimates of the impact of COVID-19 within our condensed consolidated financial statements and there may be changes to those estimates in future periods.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Revenue Recognition</w:t>
      </w:r>
    </w:p>
    <w:p>
      <w:pPr>
        <w:spacing w:after="0" w:line="17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 (Topic 606)</w:t>
      </w:r>
      <w:r>
        <w:rPr>
          <w:rFonts w:ascii="Arial" w:cs="Arial" w:eastAsia="Arial" w:hAnsi="Arial"/>
          <w:sz w:val="18"/>
          <w:szCs w:val="18"/>
          <w:color w:val="auto"/>
        </w:rPr>
        <w:t>, which supersedes all existing revenue recognition requirements, including most industry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This standard requires a company to recognize revenues when it transfers goods or services to customers in an amount that reflects the consideration that the company expects to receive for those goods or services. This standard became effective for us on January 1, 2018, and was adopted using the modified retrospective method. The adoption of this standard as of January 1, 2018, did not change our revenue recognition.</w:t>
      </w:r>
    </w:p>
    <w:p>
      <w:pPr>
        <w:spacing w:after="0" w:line="151" w:lineRule="exact"/>
        <w:rPr>
          <w:sz w:val="20"/>
          <w:szCs w:val="20"/>
          <w:color w:val="auto"/>
        </w:rPr>
      </w:pPr>
    </w:p>
    <w:p>
      <w:pPr>
        <w:jc w:val="both"/>
        <w:ind w:right="20" w:firstLine="445"/>
        <w:spacing w:after="0" w:line="253" w:lineRule="auto"/>
        <w:rPr>
          <w:sz w:val="20"/>
          <w:szCs w:val="20"/>
          <w:color w:val="auto"/>
        </w:rPr>
      </w:pPr>
      <w:r>
        <w:rPr>
          <w:rFonts w:ascii="Arial" w:cs="Arial" w:eastAsia="Arial" w:hAnsi="Arial"/>
          <w:sz w:val="18"/>
          <w:szCs w:val="18"/>
          <w:color w:val="auto"/>
        </w:rPr>
        <w:t xml:space="preserve">We recognize revenues when our customer obtains control of promised goods or services, in an amount that reflects the consideration which we expect to receive in exchange for those goods or services. We recognize revenues following the five-step model prescribed under the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Product Revenues</w:t>
      </w:r>
    </w:p>
    <w:p>
      <w:pPr>
        <w:spacing w:after="0" w:line="12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 the U.S., we sell our products primarily to wholesale distributors and specialty pharmacy providers.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150"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Product revenues are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Reserves for Discounts and Allowances</w:t>
      </w:r>
    </w:p>
    <w:p>
      <w:pPr>
        <w:spacing w:after="0" w:line="122"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Product revenues are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 Our process for estimating reserves established for these variable consideration components do not differ materially from our historical practices.</w:t>
      </w:r>
    </w:p>
    <w:p>
      <w:pPr>
        <w:spacing w:after="0" w:line="150" w:lineRule="exact"/>
        <w:rPr>
          <w:sz w:val="20"/>
          <w:szCs w:val="20"/>
          <w:color w:val="auto"/>
        </w:rPr>
      </w:pPr>
    </w:p>
    <w:p>
      <w:pPr>
        <w:ind w:right="700" w:firstLine="445"/>
        <w:spacing w:after="0" w:line="261" w:lineRule="auto"/>
        <w:rPr>
          <w:sz w:val="20"/>
          <w:szCs w:val="20"/>
          <w:color w:val="auto"/>
        </w:rPr>
      </w:pPr>
      <w:r>
        <w:rPr>
          <w:rFonts w:ascii="Arial" w:cs="Arial" w:eastAsia="Arial" w:hAnsi="Arial"/>
          <w:sz w:val="18"/>
          <w:szCs w:val="18"/>
          <w:color w:val="auto"/>
        </w:rPr>
        <w:t>Product revenue reserves, which are classified as a reduction in product revenues, are generally characterized in the following categories: discounts, contractual adjustments and returns.</w:t>
      </w:r>
    </w:p>
    <w:p>
      <w:pPr>
        <w:spacing w:after="0" w:line="144"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w:t>
      </w:r>
    </w:p>
    <w:p>
      <w:pPr>
        <w:spacing w:after="0" w:line="153"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w:t>
      </w:r>
    </w:p>
    <w:p>
      <w:pPr>
        <w:spacing w:after="0" w:line="150"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Contractual adjustments primarily relate to Medicaid and managed care rebates, pharmacy rebates, co-payment (copay) assistance, Veterans Administration (VA) and Public Health Service (PHS) discounts, specialty pharmacy program fees and other governmental rebates or applicable allowances.</w:t>
      </w:r>
    </w:p>
    <w:p>
      <w:pPr>
        <w:spacing w:after="0" w:line="148" w:lineRule="exact"/>
        <w:rPr>
          <w:sz w:val="20"/>
          <w:szCs w:val="20"/>
          <w:color w:val="auto"/>
        </w:rPr>
      </w:pPr>
    </w:p>
    <w:p>
      <w:pPr>
        <w:ind w:left="740" w:right="40" w:hanging="327"/>
        <w:spacing w:after="0" w:line="252"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other current liabilities.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53" w:lineRule="exact"/>
        <w:rPr>
          <w:rFonts w:ascii="Arial" w:cs="Arial" w:eastAsia="Arial" w:hAnsi="Arial"/>
          <w:sz w:val="18"/>
          <w:szCs w:val="18"/>
          <w:color w:val="auto"/>
        </w:rPr>
      </w:pPr>
    </w:p>
    <w:p>
      <w:pPr>
        <w:ind w:left="740" w:right="40" w:hanging="327"/>
        <w:spacing w:after="0" w:line="251"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Governmental rebates or chargebacks, including VA and PHS discounts, represent our estimated obligations resulting from contractual 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chargebacks consist of amounts that we expect to issue for inventory that exists at the wholesalers that we expect will be sold to qualified healthcare providers and chargebacks that wholesalers have claimed for which we have not issued a credit.</w:t>
      </w:r>
    </w:p>
    <w:p>
      <w:pPr>
        <w:spacing w:after="0" w:line="157" w:lineRule="exact"/>
        <w:rPr>
          <w:rFonts w:ascii="Arial" w:cs="Arial" w:eastAsia="Arial" w:hAnsi="Arial"/>
          <w:sz w:val="18"/>
          <w:szCs w:val="18"/>
          <w:color w:val="auto"/>
        </w:rPr>
      </w:pPr>
    </w:p>
    <w:p>
      <w:pPr>
        <w:ind w:left="740" w:hanging="327"/>
        <w:spacing w:after="0" w:line="252"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Managed care rebates represent our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w:t>
      </w:r>
    </w:p>
    <w:p>
      <w:pPr>
        <w:spacing w:after="0" w:line="154" w:lineRule="exact"/>
        <w:rPr>
          <w:rFonts w:ascii="Arial" w:cs="Arial" w:eastAsia="Arial" w:hAnsi="Arial"/>
          <w:sz w:val="18"/>
          <w:szCs w:val="18"/>
          <w:color w:val="auto"/>
        </w:rPr>
      </w:pPr>
    </w:p>
    <w:p>
      <w:pPr>
        <w:ind w:left="740" w:right="200" w:hanging="327"/>
        <w:spacing w:after="0" w:line="256"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Copay assistance represents financial assistance to qualified patients, assisting them with prescription drug co-payments required by insurance. The calculation of the accrual for copay is based on an estimate of claims and the cost per claim that we expect to receive associated with inventory that exists in the distribution channel at period end.</w:t>
      </w:r>
    </w:p>
    <w:p>
      <w:pPr>
        <w:spacing w:after="0" w:line="147" w:lineRule="exact"/>
        <w:rPr>
          <w:rFonts w:ascii="Arial" w:cs="Arial" w:eastAsia="Arial" w:hAnsi="Arial"/>
          <w:sz w:val="18"/>
          <w:szCs w:val="18"/>
          <w:color w:val="auto"/>
        </w:rPr>
      </w:pPr>
    </w:p>
    <w:p>
      <w:pPr>
        <w:ind w:left="740" w:right="80" w:hanging="327"/>
        <w:spacing w:after="0" w:line="253"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Pharmacy rebates represent our estimated obligations resulting from contractual commitments to sell products to specific pharmacies. Rebate accruals are recorded in the same period the related revenue is recognized, resulting in a reduction of product revenue and the establishment of a liability which is included in accrued expenses and other current liabilities. These rebates result from contracted discounts on product purchased or product dispensed. The calculation of the accrual for these rebates is based on an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740" w:right="180"/>
        <w:spacing w:after="0" w:line="261" w:lineRule="auto"/>
        <w:rPr>
          <w:sz w:val="20"/>
          <w:szCs w:val="20"/>
          <w:color w:val="auto"/>
        </w:rPr>
      </w:pPr>
      <w:r>
        <w:rPr>
          <w:rFonts w:ascii="Arial" w:cs="Arial" w:eastAsia="Arial" w:hAnsi="Arial"/>
          <w:sz w:val="18"/>
          <w:szCs w:val="18"/>
          <w:color w:val="auto"/>
        </w:rPr>
        <w:t>estimate of the pharmacy’s buying or dispensing patterns and the resulting applicable contractual rebate rate(s) to be earned over the contractual period.</w:t>
      </w:r>
    </w:p>
    <w:p>
      <w:pPr>
        <w:spacing w:after="0" w:line="144" w:lineRule="exact"/>
        <w:rPr>
          <w:sz w:val="20"/>
          <w:szCs w:val="20"/>
          <w:color w:val="auto"/>
        </w:rPr>
      </w:pPr>
    </w:p>
    <w:p>
      <w:pPr>
        <w:ind w:left="740" w:right="380" w:hanging="327"/>
        <w:spacing w:after="0" w:line="261"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governmental rebates, non-U.S. pharmaceutical taxes or applicable allowances primarily relate to mandatory rebates and discounts in international markets where government-sponsored healthcare systems are the primary payors for healthcare.</w:t>
      </w:r>
    </w:p>
    <w:p>
      <w:pPr>
        <w:spacing w:after="0" w:line="14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Product return reserves are established for returns expected to be made by wholesalers and are recorded in the period the related revenue is recognized, resulting in a reduction to product revenues.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5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revenues. To the extent we can demonstrate a separable benefit and fair value for these services we classify these payments in selling, general and administrative expenses.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Revenues from Anti-CD20 Therapeutic Programs</w:t>
      </w:r>
    </w:p>
    <w:p>
      <w:pPr>
        <w:spacing w:after="0" w:line="104" w:lineRule="exact"/>
        <w:rPr>
          <w:sz w:val="20"/>
          <w:szCs w:val="20"/>
          <w:color w:val="auto"/>
        </w:rPr>
      </w:pPr>
    </w:p>
    <w:p>
      <w:pPr>
        <w:ind w:right="460" w:firstLine="445"/>
        <w:spacing w:after="0" w:line="266" w:lineRule="auto"/>
        <w:rPr>
          <w:sz w:val="20"/>
          <w:szCs w:val="20"/>
          <w:color w:val="auto"/>
        </w:rPr>
      </w:pPr>
      <w:r>
        <w:rPr>
          <w:rFonts w:ascii="Arial" w:cs="Arial" w:eastAsia="Arial" w:hAnsi="Arial"/>
          <w:sz w:val="18"/>
          <w:szCs w:val="18"/>
          <w:color w:val="auto"/>
        </w:rPr>
        <w:t xml:space="preserve">Our collaboration with Genentech is within the scope of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For purposes of this footnote, we refer to RITUXAN and RITUXAN HYCELA collectively as RITUXAN.</w:t>
      </w:r>
    </w:p>
    <w:p>
      <w:pPr>
        <w:spacing w:after="0" w:line="59"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Our share of the pre-tax co-promotion profits on RITUXAN and GAZYVA and royalty revenues on the sale of OCREVUS resulted from an exchange of a license. As we do not have future performance obligations under the license or collaboration agreement, revenues are recognized as the underlying sales occur.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anti-CD20 therapeutic programs consist of:</w:t>
      </w:r>
    </w:p>
    <w:p>
      <w:pPr>
        <w:spacing w:after="0" w:line="104" w:lineRule="exact"/>
        <w:rPr>
          <w:sz w:val="20"/>
          <w:szCs w:val="20"/>
          <w:color w:val="auto"/>
        </w:rPr>
      </w:pPr>
    </w:p>
    <w:p>
      <w:pPr>
        <w:ind w:left="820" w:hanging="407"/>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share of pre-tax profits and losses in the U.S. for RITUXAN and GAZYVA; and</w:t>
      </w:r>
    </w:p>
    <w:p>
      <w:pPr>
        <w:spacing w:after="0" w:line="90" w:lineRule="exact"/>
        <w:rPr>
          <w:rFonts w:ascii="Arial" w:cs="Arial" w:eastAsia="Arial" w:hAnsi="Arial"/>
          <w:sz w:val="18"/>
          <w:szCs w:val="18"/>
          <w:color w:val="auto"/>
        </w:rPr>
      </w:pPr>
    </w:p>
    <w:p>
      <w:pPr>
        <w:ind w:left="740" w:right="520" w:hanging="327"/>
        <w:spacing w:after="0" w:line="261" w:lineRule="auto"/>
        <w:tabs>
          <w:tab w:leader="none" w:pos="866"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revenues from anti-CD20 therapeutic programs, which primarily consist of our share of pre-tax co-promotion profits on RITUXAN in Canada and royalty revenues on sales of OCREVUS.</w:t>
      </w:r>
    </w:p>
    <w:p>
      <w:pPr>
        <w:spacing w:after="0" w:line="7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Pre-tax co-promotion profits on RITUXAN and GAZYVA are calculated and paid to us by Genentech and the Roche Group. Pre-tax co-promotion profits consist of net sales to third-party customers less applicable costs to manufacture, third-party royalty expenses, distribution, selling and marketing expenses and joint development expenses incurred by Genentech and the Roche Group. Our share of the pre-tax profits on RITUXAN and GAZYVA include estimates that are based on information received from Genentech and the Roche Group. These estimates are subject to change and actual results may differ.</w:t>
      </w:r>
    </w:p>
    <w:p>
      <w:pPr>
        <w:spacing w:after="0" w:line="84"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We recognize royalty revenues on sales of OCREVUS based on our estimates from third party and market research data of OCREVUS sales occurring during the corresponding period. Differences between actual and estimated royalty revenues will be adjusted for in the period in which they become known, which is generally expected to be the following quarter.</w:t>
      </w:r>
    </w:p>
    <w:p>
      <w:pPr>
        <w:spacing w:after="0" w:line="49" w:lineRule="exact"/>
        <w:rPr>
          <w:sz w:val="20"/>
          <w:szCs w:val="20"/>
          <w:color w:val="auto"/>
        </w:rPr>
      </w:pPr>
    </w:p>
    <w:p>
      <w:pPr>
        <w:ind w:right="320" w:firstLine="445"/>
        <w:spacing w:after="0" w:line="282" w:lineRule="auto"/>
        <w:rPr>
          <w:sz w:val="20"/>
          <w:szCs w:val="20"/>
          <w:color w:val="auto"/>
        </w:rPr>
      </w:pPr>
      <w:r>
        <w:rPr>
          <w:rFonts w:ascii="Arial" w:cs="Arial" w:eastAsia="Arial" w:hAnsi="Arial"/>
          <w:sz w:val="18"/>
          <w:szCs w:val="18"/>
          <w:color w:val="auto"/>
        </w:rPr>
        <w:t xml:space="preserve">For additional information on our relationship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these consolidated financial statements.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 Revenues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Royalty Revenues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royalty revenues related to sales by our licensees of products covered under patents that we own.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Collaborative and Other Relationships</w:t>
      </w:r>
    </w:p>
    <w:p>
      <w:pPr>
        <w:spacing w:after="0" w:line="122" w:lineRule="exact"/>
        <w:rPr>
          <w:sz w:val="20"/>
          <w:szCs w:val="20"/>
          <w:color w:val="auto"/>
        </w:rPr>
      </w:pPr>
    </w:p>
    <w:p>
      <w:pPr>
        <w:ind w:right="500" w:firstLine="405"/>
        <w:spacing w:after="0" w:line="256" w:lineRule="auto"/>
        <w:rPr>
          <w:sz w:val="20"/>
          <w:szCs w:val="20"/>
          <w:color w:val="auto"/>
        </w:rPr>
      </w:pPr>
      <w:r>
        <w:rPr>
          <w:rFonts w:ascii="Arial" w:cs="Arial" w:eastAsia="Arial" w:hAnsi="Arial"/>
          <w:sz w:val="18"/>
          <w:szCs w:val="18"/>
          <w:color w:val="auto"/>
        </w:rPr>
        <w:t>We have a number of significant collaborative and other third-party relationships for revenues and for the development, regulatory approval, commercialization and marketing of certain of our products and product candidates. Where we are the principal on sales transactions with third parties, we recognize revenues, cost of sales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and operating expenses on a gross basis in their respective lines in our consolidated statements of income. Where we are not the principal on sales transactions with third parties, we record our share of the revenues, cost of sales and operating expenses on a net basis in collaborative and other relationships included in other revenues in our consolidated statements of income.</w:t>
      </w:r>
    </w:p>
    <w:p>
      <w:pPr>
        <w:spacing w:after="0" w:line="6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development and commercialization arrangements with Genentech and Samsung Bioepis represent collaborative arrangements as each party is an active participant in one or more joint operating activities and is exposed to significant risks and rewards of these arrangements. These arrangements resulted from an exchange of a license and utilize the sales and usage based royalty exception. Therefore, revenues relating to royalties or profit-sharing amounts received are recognized as the underlying sales occur.</w:t>
      </w:r>
    </w:p>
    <w:p>
      <w:pPr>
        <w:spacing w:after="0" w:line="132"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and Samsung Bioepis, please read </w:t>
      </w:r>
      <w:r>
        <w:rPr>
          <w:rFonts w:ascii="Arial" w:cs="Arial" w:eastAsia="Arial" w:hAnsi="Arial"/>
          <w:sz w:val="18"/>
          <w:szCs w:val="18"/>
          <w:i w:val="1"/>
          <w:iCs w:val="1"/>
          <w:color w:val="auto"/>
        </w:rPr>
        <w:t>Note 18, 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Relationships</w:t>
      </w:r>
      <w:r>
        <w:rPr>
          <w:rFonts w:ascii="Arial" w:cs="Arial" w:eastAsia="Arial" w:hAnsi="Arial"/>
          <w:sz w:val="18"/>
          <w:szCs w:val="18"/>
          <w:color w:val="auto"/>
        </w:rPr>
        <w:t>, to these consolidated financial statements.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Corporate Revenues</w:t>
      </w:r>
    </w:p>
    <w:p>
      <w:pPr>
        <w:spacing w:after="0" w:line="122"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We record other corporate revenues primarily from amounts earned under contract manufacturing agreements. Revenues under contract manufacturing agreements are recognized when the customer obtains control of the product, which may occur at a point in time or over time depending on the terms and conditions of the agreement.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Fair Value Measurements</w:t>
      </w:r>
    </w:p>
    <w:p>
      <w:pPr>
        <w:spacing w:after="0" w:line="126"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126" w:lineRule="exact"/>
        <w:rPr>
          <w:sz w:val="20"/>
          <w:szCs w:val="20"/>
          <w:color w:val="auto"/>
        </w:rPr>
      </w:pPr>
    </w:p>
    <w:p>
      <w:pPr>
        <w:ind w:left="740" w:right="160" w:hanging="327"/>
        <w:spacing w:after="0" w:line="282"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Fair values are determined utilizing quoted prices (unadjusted) in active markets for identical assets or liabilities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ability to access;</w:t>
      </w:r>
    </w:p>
    <w:p>
      <w:pPr>
        <w:spacing w:after="0" w:line="53" w:lineRule="exact"/>
        <w:rPr>
          <w:rFonts w:ascii="Arial" w:cs="Arial" w:eastAsia="Arial" w:hAnsi="Arial"/>
          <w:sz w:val="18"/>
          <w:szCs w:val="18"/>
          <w:color w:val="auto"/>
        </w:rPr>
      </w:pPr>
    </w:p>
    <w:p>
      <w:pPr>
        <w:ind w:left="740" w:right="20" w:hanging="327"/>
        <w:spacing w:after="0" w:line="313" w:lineRule="auto"/>
        <w:tabs>
          <w:tab w:leader="none" w:pos="695"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Fair values are determined by utilizing quoted prices for identical or similar assets and liabilities in active markets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observable inputs such as interest rates, yield curves, foreign currency spot rates and option pricing valuation models; and</w:t>
      </w:r>
    </w:p>
    <w:p>
      <w:pPr>
        <w:spacing w:after="0" w:line="30" w:lineRule="exact"/>
        <w:rPr>
          <w:rFonts w:ascii="Arial" w:cs="Arial" w:eastAsia="Arial" w:hAnsi="Arial"/>
          <w:sz w:val="17"/>
          <w:szCs w:val="17"/>
          <w:color w:val="auto"/>
        </w:rPr>
      </w:pPr>
    </w:p>
    <w:p>
      <w:pPr>
        <w:ind w:left="700" w:hanging="287"/>
        <w:spacing w:after="0"/>
        <w:tabs>
          <w:tab w:leader="none" w:pos="7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valuations that require inputs that are both significant to the fair value measurement and unobservable.</w:t>
      </w:r>
    </w:p>
    <w:p>
      <w:pPr>
        <w:spacing w:after="0" w:line="189" w:lineRule="exact"/>
        <w:rPr>
          <w:sz w:val="20"/>
          <w:szCs w:val="20"/>
          <w:color w:val="auto"/>
        </w:rPr>
      </w:pPr>
    </w:p>
    <w:p>
      <w:pPr>
        <w:ind w:right="200" w:firstLine="445"/>
        <w:spacing w:after="0" w:line="270" w:lineRule="auto"/>
        <w:rPr>
          <w:sz w:val="20"/>
          <w:szCs w:val="20"/>
          <w:color w:val="auto"/>
        </w:rPr>
      </w:pPr>
      <w:r>
        <w:rPr>
          <w:rFonts w:ascii="Arial" w:cs="Arial" w:eastAsia="Arial" w:hAnsi="Arial"/>
          <w:sz w:val="17"/>
          <w:szCs w:val="17"/>
          <w:color w:val="auto"/>
        </w:rPr>
        <w:t>The majority of our financial assets have been classified as Level 2. Our financial assets (which include our cash equivalents, marketable debt securities and certain of our marketable equity securities, derivative contracts and plan assets for deferred compensation) have been initially valued at the transaction price and subsequently valued, at the end of each reporting period, utilizing third-party pricing services or option pricing valuation models.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13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validate the prices provided by our third-party pricing services by understanding the models used, obtaining market values from other pricing sources and analyzing pricing data in certain instances. The option pricing valuation models use assumptions within the model, including the term, stock price volatility, constant maturity risk-free interest rate and dividend yield. After completing our validation procedures, we did not adjust or override any fair value measurements provided by our pricing services as of December 31, 2020 and 2019.</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 Assets and Liabilities</w:t>
      </w:r>
    </w:p>
    <w:p>
      <w:pPr>
        <w:spacing w:after="0" w:line="108" w:lineRule="exact"/>
        <w:rPr>
          <w:sz w:val="20"/>
          <w:szCs w:val="20"/>
          <w:color w:val="auto"/>
        </w:rPr>
      </w:pPr>
    </w:p>
    <w:p>
      <w:pPr>
        <w:jc w:val="both"/>
        <w:ind w:right="20" w:firstLine="445"/>
        <w:spacing w:after="0" w:line="291" w:lineRule="auto"/>
        <w:rPr>
          <w:sz w:val="20"/>
          <w:szCs w:val="20"/>
          <w:color w:val="auto"/>
        </w:rPr>
      </w:pPr>
      <w:r>
        <w:rPr>
          <w:rFonts w:ascii="Arial" w:cs="Arial" w:eastAsia="Arial" w:hAnsi="Arial"/>
          <w:sz w:val="17"/>
          <w:szCs w:val="17"/>
          <w:color w:val="auto"/>
        </w:rPr>
        <w:t>The carrying amounts reflected in our consolidated balance sheets for current accounts receivable, due from anti-CD20 therapeutic programs, other current assets, accounts payable and accrued expenses and other, approximate fair value due to their short-term maturities.</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Cash and Cash Equivalents</w:t>
      </w:r>
    </w:p>
    <w:p>
      <w:pPr>
        <w:spacing w:after="0" w:line="126" w:lineRule="exact"/>
        <w:rPr>
          <w:sz w:val="20"/>
          <w:szCs w:val="20"/>
          <w:color w:val="auto"/>
        </w:rPr>
      </w:pPr>
    </w:p>
    <w:p>
      <w:pPr>
        <w:jc w:val="both"/>
        <w:ind w:right="20" w:firstLine="445"/>
        <w:spacing w:after="0" w:line="278" w:lineRule="auto"/>
        <w:rPr>
          <w:sz w:val="20"/>
          <w:szCs w:val="20"/>
          <w:color w:val="auto"/>
        </w:rPr>
      </w:pPr>
      <w:r>
        <w:rPr>
          <w:rFonts w:ascii="Arial" w:cs="Arial" w:eastAsia="Arial" w:hAnsi="Arial"/>
          <w:sz w:val="17"/>
          <w:szCs w:val="17"/>
          <w:color w:val="auto"/>
        </w:rPr>
        <w:t>We consider only those investments that are highly liquid, readily convertible to cash and that mature within three months from date of purchase to be cash equivalents. As of December 31, 2020 and 2019, cash equivalents were comprised of money market funds, commercial paper, overnight reverse repurchase agreements and other debt securities with maturities less than 90 days from the date of purchase.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Accounts Receivable</w:t>
      </w:r>
    </w:p>
    <w:p>
      <w:pPr>
        <w:spacing w:after="0" w:line="126"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The majority of our accounts receivable arise from product sales and primarily represent amounts due from our wholesale and other third-party distributors, public hospitals, pharmacies and other government entities and have standard payment terms that generally require payment within 30 to 90 days.</w:t>
      </w:r>
    </w:p>
    <w:p>
      <w:pPr>
        <w:spacing w:after="0" w:line="148" w:lineRule="exact"/>
        <w:rPr>
          <w:sz w:val="20"/>
          <w:szCs w:val="20"/>
          <w:color w:val="auto"/>
        </w:rPr>
      </w:pPr>
    </w:p>
    <w:p>
      <w:pPr>
        <w:ind w:right="400" w:firstLine="445"/>
        <w:spacing w:after="0" w:line="261" w:lineRule="auto"/>
        <w:rPr>
          <w:sz w:val="20"/>
          <w:szCs w:val="20"/>
          <w:color w:val="auto"/>
        </w:rPr>
      </w:pPr>
      <w:r>
        <w:rPr>
          <w:rFonts w:ascii="Arial" w:cs="Arial" w:eastAsia="Arial" w:hAnsi="Arial"/>
          <w:sz w:val="18"/>
          <w:szCs w:val="18"/>
          <w:color w:val="auto"/>
        </w:rPr>
        <w:t>We do not adjust our receivables for the effects of a significant financing component at contract inception if we expect to collect the receivables in one year or less from the time of sale.</w:t>
      </w:r>
    </w:p>
    <w:p>
      <w:pPr>
        <w:spacing w:after="0" w:line="14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countries where we have experienced a pattern of payments extending beyond our contractual payment term and we expect to collect receivables greater than one year from the time of sale, we have assessed whether the customer has a significant financing component and discounted our receivables and reduced related revenues over the period of time that we estimate those amounts will be paid using the country’s market-based borrowing rate for such period. The related receivables are classified at the time of sale as non-current assets. We accrete interest income on these receivables, which is recorded as a component of other income (expense), net in our consolidated statements of income.</w:t>
      </w:r>
    </w:p>
    <w:p>
      <w:pPr>
        <w:spacing w:after="0" w:line="154"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We provide reserves against accounts receivable for estimated losses that may result from a customer's inability to pay. Amounts determined to be uncollectible are charged or written-off against the reserve.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Concentration of Credit Risk</w:t>
      </w:r>
    </w:p>
    <w:p>
      <w:pPr>
        <w:spacing w:after="0" w:line="11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54"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Concentrations of credit risk with respect to receivables, which are typically unsecured, are somewhat mitigated due to the wide variety of customers and markets using our products, as well as their dispersion across many different geographic areas.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Marketable Securities and Other Investments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Marketable Debt Securities</w:t>
      </w:r>
    </w:p>
    <w:p>
      <w:pPr>
        <w:spacing w:after="0" w:line="122"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Available-for-sale marketable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Marketable Equity Securities and Venture Capital Funds</w:t>
      </w:r>
    </w:p>
    <w:p>
      <w:pPr>
        <w:spacing w:after="0" w:line="122" w:lineRule="exact"/>
        <w:rPr>
          <w:sz w:val="20"/>
          <w:szCs w:val="20"/>
          <w:color w:val="auto"/>
        </w:rPr>
      </w:pPr>
    </w:p>
    <w:p>
      <w:pPr>
        <w:ind w:right="360" w:firstLine="445"/>
        <w:spacing w:after="0" w:line="253" w:lineRule="auto"/>
        <w:rPr>
          <w:sz w:val="20"/>
          <w:szCs w:val="20"/>
          <w:color w:val="auto"/>
        </w:rPr>
      </w:pPr>
      <w:r>
        <w:rPr>
          <w:rFonts w:ascii="Arial" w:cs="Arial" w:eastAsia="Arial" w:hAnsi="Arial"/>
          <w:sz w:val="18"/>
          <w:szCs w:val="18"/>
          <w:color w:val="auto"/>
        </w:rPr>
        <w:t>Our marketable equity securities are recorded at fair market value and, beginning January 1, 2018, unrealized gains and losses are included in other income (expense), net in our consolidated statements of income. Prior to January 1, 2018, unrealized gains and losses were included in accumulated other comprehensive income (loss) in equity, net of related tax effects. Our marketable equity securities represent investments in publicly traded equity securities and are included in investments and other assets in our consolidated balance sheets.</w:t>
      </w:r>
    </w:p>
    <w:p>
      <w:pPr>
        <w:spacing w:after="0" w:line="151"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Our investments in venture capital funds are recorded at net asset value, which approximates fair value, and, beginning January 1, 2018, unrealized gains and losses are included in other income (expense), net in our consolidated statements of income. Prior to January 1, 2018, these investments were accounted for under the cost method of accounting. The underlying investments of the venture capital funds in which we invest are in equity securities of certain biotechnology companies and are included in investments and other assets in our consolidated balance sheets.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Non-Marketable Equity Securities</w:t>
      </w:r>
    </w:p>
    <w:p>
      <w:pPr>
        <w:spacing w:after="0" w:line="122"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We also invest in equity securities of companies whose securities are not publicly traded and where fair value is not readily available. These investments are recorded using either the equity method of accounting or the cost minus impairment adjusted for changes in observable prices,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and other assets in our consolidated balance sheets.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Evaluating Marketable Debt Securities for Other-than-Temporary Impairments</w:t>
      </w:r>
    </w:p>
    <w:p>
      <w:pPr>
        <w:spacing w:after="0" w:line="10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conduct periodic reviews to identify and evaluate each investment that has an unrealized loss, in accordance with the meaning of other-than-temporary impairment.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150"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150" w:lineRule="exact"/>
        <w:rPr>
          <w:sz w:val="20"/>
          <w:szCs w:val="20"/>
          <w:color w:val="auto"/>
        </w:rPr>
      </w:pPr>
    </w:p>
    <w:p>
      <w:pPr>
        <w:jc w:val="both"/>
        <w:ind w:right="340" w:firstLine="445"/>
        <w:spacing w:after="0" w:line="256"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Equity Method of Accounting</w:t>
      </w:r>
    </w:p>
    <w:p>
      <w:pPr>
        <w:spacing w:after="0" w:line="12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in our consolidated statements of income our share of income or loss of the other company. If our share of losses exceeds the carrying value of our investment, we will suspend recognizing additional losses and will continue to do so unless we commit to providing additional funding.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Inventory</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Inventories are stated at the lower of cost or net realizable value with cost based on the first-in, first-out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Capitalization of Inventory Costs</w:t>
      </w:r>
    </w:p>
    <w:p>
      <w:pPr>
        <w:spacing w:after="0" w:line="10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inventory upon a change in such judgment, due to, among other potential factors, a denial or significant delay of approval by necessary regulatory bodies.</w:t>
      </w:r>
    </w:p>
    <w:p>
      <w:pPr>
        <w:spacing w:after="0" w:line="63"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At December 31, 2020, we capitalized approximately $ 93.8 million of pre-launch inventory for aducanumab, an anti-amyloid beta antibody candidate for the potential treatment of Alzheimer's disease that we are developing in collaboration with Eisai Co., Ltd. (Eisai). If aducanumab does not receive regulatory approval in the U.S., we would expense this inventory as research and development expense and, under the terms of our collaboration agreement with Eisai to jointly develop and commercialize aducanumab, Eisai would reimburse us for 45.0% of the costs.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Obsolescence and Unmarketable Inventory</w:t>
      </w:r>
    </w:p>
    <w:p>
      <w:pPr>
        <w:spacing w:after="0" w:line="122"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Property, Plant and Equipment</w:t>
      </w:r>
    </w:p>
    <w:p>
      <w:pPr>
        <w:spacing w:after="0" w:line="12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Property, plant and equipment are carried at cost,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5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15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148"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2573BA"/>
              </w:rPr>
              <w:t>Land</w:t>
            </w:r>
          </w:p>
        </w:tc>
        <w:tc>
          <w:tcPr>
            <w:tcW w:w="454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Not depreciated</w:t>
            </w: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Buildings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15 to 40 years</w:t>
            </w: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Leasehold Improvements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Lesser of the useful life or the term of the respective lease</w:t>
            </w: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Furniture and Fixtures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5 to 7 years</w:t>
            </w: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Machinery and Equipment</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5 to 20 years</w:t>
            </w: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Computer Software and Hardware</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2573BA"/>
              </w:rPr>
              <w:t>3 to 5 years</w:t>
            </w:r>
          </w:p>
        </w:tc>
      </w:tr>
    </w:tbl>
    <w:p>
      <w:pPr>
        <w:spacing w:after="0" w:line="161"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When we dispose of property, plant and equipment, we remove the associated cost and accumulated depreciation from the related accounts in our consolidated balance sheets and include any resulting gain or loss in our consolidated statements of income.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Leases</w:t>
      </w:r>
    </w:p>
    <w:p>
      <w:pPr>
        <w:spacing w:after="0" w:line="108" w:lineRule="exact"/>
        <w:rPr>
          <w:sz w:val="20"/>
          <w:szCs w:val="20"/>
          <w:color w:val="auto"/>
        </w:rPr>
      </w:pPr>
    </w:p>
    <w:p>
      <w:pPr>
        <w:ind w:right="140" w:firstLine="445"/>
        <w:spacing w:after="0" w:line="25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 new standard issued to increase transparency and comparability among organizations related to their leasing activities. This standard established a right-of-use model that requires all lessees to recognize right-of-use assets and lease liabilities on their balance sheet that arise from leases as well as provide disclosures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47"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 xml:space="preserve">The FASB subsequently issued the following amendments to ASU 2016-02 that have the same effective date and transition date: ASU No. 2018-01, </w:t>
      </w:r>
      <w:r>
        <w:rPr>
          <w:rFonts w:ascii="Arial" w:cs="Arial" w:eastAsia="Arial" w:hAnsi="Arial"/>
          <w:sz w:val="18"/>
          <w:szCs w:val="18"/>
          <w:i w:val="1"/>
          <w:iCs w:val="1"/>
          <w:color w:val="auto"/>
        </w:rPr>
        <w:t>Leases (Topic 842): Land Easement Practical Expedient for Transition to Topic 842</w:t>
      </w:r>
      <w:r>
        <w:rPr>
          <w:rFonts w:ascii="Arial" w:cs="Arial" w:eastAsia="Arial" w:hAnsi="Arial"/>
          <w:sz w:val="18"/>
          <w:szCs w:val="18"/>
          <w:color w:val="auto"/>
        </w:rPr>
        <w:t xml:space="preserve">, ASU No. 2018-10,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ASU No. 2018-11,</w:t>
      </w:r>
      <w:r>
        <w:rPr>
          <w:rFonts w:ascii="Arial" w:cs="Arial" w:eastAsia="Arial" w:hAnsi="Arial"/>
          <w:sz w:val="18"/>
          <w:szCs w:val="18"/>
          <w:i w:val="1"/>
          <w:iCs w:val="1"/>
          <w:color w:val="auto"/>
        </w:rPr>
        <w:t xml:space="preserve"> Leases (Topic 842): Targeted Improvements</w:t>
      </w:r>
      <w:r>
        <w:rPr>
          <w:rFonts w:ascii="Arial" w:cs="Arial" w:eastAsia="Arial" w:hAnsi="Arial"/>
          <w:sz w:val="18"/>
          <w:szCs w:val="18"/>
          <w:color w:val="auto"/>
        </w:rPr>
        <w:t>, ASU No. 2018-20,</w:t>
      </w:r>
      <w:r>
        <w:rPr>
          <w:rFonts w:ascii="Arial" w:cs="Arial" w:eastAsia="Arial" w:hAnsi="Arial"/>
          <w:sz w:val="18"/>
          <w:szCs w:val="18"/>
          <w:i w:val="1"/>
          <w:iCs w:val="1"/>
          <w:color w:val="auto"/>
        </w:rPr>
        <w:t xml:space="preserve"> Narrow-Scope Improvement for Lessors</w:t>
      </w:r>
      <w:r>
        <w:rPr>
          <w:rFonts w:ascii="Arial" w:cs="Arial" w:eastAsia="Arial" w:hAnsi="Arial"/>
          <w:sz w:val="18"/>
          <w:szCs w:val="18"/>
          <w:color w:val="auto"/>
        </w:rPr>
        <w:t>, and ASU No. 2019-01,</w:t>
      </w:r>
      <w:r>
        <w:rPr>
          <w:rFonts w:ascii="Arial" w:cs="Arial" w:eastAsia="Arial" w:hAnsi="Arial"/>
          <w:sz w:val="18"/>
          <w:szCs w:val="18"/>
          <w:i w:val="1"/>
          <w:iCs w:val="1"/>
          <w:color w:val="auto"/>
        </w:rPr>
        <w:t xml:space="preserve"> Leases (Topic 842): Codification Improvements</w:t>
      </w:r>
      <w:r>
        <w:rPr>
          <w:rFonts w:ascii="Arial" w:cs="Arial" w:eastAsia="Arial" w:hAnsi="Arial"/>
          <w:sz w:val="18"/>
          <w:szCs w:val="18"/>
          <w:color w:val="auto"/>
        </w:rPr>
        <w:t>. We adopted these amendments with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2016-02 (collectively, the new leasing standards) effective January 1, 2019.</w:t>
      </w:r>
    </w:p>
    <w:p>
      <w:pPr>
        <w:spacing w:after="0" w:line="15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adopted the new leasing standards using the modified retrospective transition approach, as of January 1, 2019, with no restatement of prior periods or cumulative adjustment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We also elected the practical expedient to not reassess certain land easements and made an accounting policy election to not recognize leases with an initial term of 12 months or less within our consolidated balance sheets and to recognize those lease payments on a straight-line basis in our consolidated statements of income over the lease term. Upon adoption of the new leasing standards we recognized an operating lease asset of approximately $463.0 million and a corresponding operating lease liability of approximately $526.0 million, which are included in our consolidated balance sheets. The adoption of the new leasing standards did not have an impact on our consolidated statements of income.</w:t>
      </w:r>
    </w:p>
    <w:p>
      <w:pPr>
        <w:spacing w:after="0" w:line="158"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w:t>
      </w:r>
    </w:p>
    <w:p>
      <w:pPr>
        <w:spacing w:after="0" w:line="15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148"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The lease payments used to determine our operating lease assets may include lease incentives, stated rent increases and escalation clauses linked to rates of inflation when determinable and are recognized in our operating lease assets in our consolidated balance sheets. Our lease agreements may include both lease and non-lease components, which we account for as a single lease component when the payments are fixed. Variable payments included in the lease agreement are expensed as incurred. For certain equipment leases, such as vehicles, we apply a portfolio approach to effectively account for the operating lease assets and liabilities.</w:t>
      </w:r>
    </w:p>
    <w:p>
      <w:pPr>
        <w:spacing w:after="0" w:line="151"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Our operating leases are reflected in operating lease assets, accrued expenses and other and in long-term operating lease liabilities in our consolidated balance sheets. Lease expense for minimum lease payments is recognized on a straight-line basis over the lease term.</w:t>
      </w:r>
    </w:p>
    <w:p>
      <w:pPr>
        <w:spacing w:after="0" w:line="14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We also have real estate lease agreements which are subleased to third parties. Operating leases for which we are the sublessor are included in accrued expenses and other and other long-term liabilities in our consolidated balance sheets. We recognize sublease income on a straight-line basis over the lease term in our consolidated statements of income.</w:t>
      </w:r>
    </w:p>
    <w:p>
      <w:pPr>
        <w:spacing w:after="0" w:line="130" w:lineRule="exact"/>
        <w:rPr>
          <w:sz w:val="20"/>
          <w:szCs w:val="20"/>
          <w:color w:val="auto"/>
        </w:rPr>
      </w:pPr>
    </w:p>
    <w:p>
      <w:pPr>
        <w:ind w:right="220" w:firstLine="445"/>
        <w:spacing w:after="0" w:line="282" w:lineRule="auto"/>
        <w:rPr>
          <w:sz w:val="20"/>
          <w:szCs w:val="20"/>
          <w:color w:val="auto"/>
        </w:rPr>
      </w:pPr>
      <w:r>
        <w:rPr>
          <w:rFonts w:ascii="Arial" w:cs="Arial" w:eastAsia="Arial" w:hAnsi="Arial"/>
          <w:sz w:val="18"/>
          <w:szCs w:val="18"/>
          <w:color w:val="auto"/>
        </w:rPr>
        <w:t xml:space="preserve">For additional information on the adoption of the new leasing standards, please read </w:t>
      </w:r>
      <w:r>
        <w:rPr>
          <w:rFonts w:ascii="Arial" w:cs="Arial" w:eastAsia="Arial" w:hAnsi="Arial"/>
          <w:sz w:val="18"/>
          <w:szCs w:val="18"/>
          <w:i w:val="1"/>
          <w:iCs w:val="1"/>
          <w:color w:val="auto"/>
        </w:rPr>
        <w:t>Note 11, Leases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Intangible Assets</w:t>
      </w:r>
    </w:p>
    <w:p>
      <w:pPr>
        <w:spacing w:after="0" w:line="12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Our intangible assets consist of completed technology (comprised of acquired and in-licensed rights and patents, developed technology, out-licensed patents), in-process research and development (IPR&amp;D) acquired after January 1, 2009, trademarks and trade names. Our intangible assets are recorded at fair value at the time of their acquisition and are stated in our consolidated balance sheets net of accumulated amortization and impairments, if applicable.</w:t>
      </w:r>
    </w:p>
    <w:p>
      <w:pPr>
        <w:spacing w:after="0" w:line="15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Intangible assets related to acquired and in-licensed rights and patents, developed technology and out-licensed patents are amortized over their estimated useful lives using the economic consumption method if anticipated future revenues can be reasonably estimated. The straight-line method is used when revenues cannot be reasonably estimated. Amortization is recorded within amortization and impairment of acquired intangible assets in our consolidated statements of income.</w:t>
      </w:r>
    </w:p>
    <w:p>
      <w:pPr>
        <w:spacing w:after="0" w:line="150"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Acquired and in-licensed rights and patents primarily relate to our acquisition of all remaining rights to TYSABRI from Elan Pharma International Ltd. (Elan), an affiliate of Elan Corporation, plc. Acquired and in-licensed rights and patents also include other amounts related to our other marketed products and programs acquired through business combinations. Developed technology primarily relates to our AVONEX product, which was recorded in connection with the merger of Biogen, Inc. and IDEC Pharmaceuticals Corporation in 2003. We amortize the intangible assets related to our TYSABRI, AVONEX, SPINRAZA, VUMERITY and TECFIDERA (rest of world) products using the economic consumption method based on revenues generated from the products underlying the related intangible assets. An analysis of the anticipated lifetime revenues of our TYSABRI, AVONEX, SPINRAZA, VUMERITY and TECFIDERA (rest of world) products is performed annually during our long-range planning cycle and whenever events or changes in circumstances would significantly affect the anticipated lifetime revenues of our TYSABRI, AVONEX, SPINRAZA, VUMERITY and TECFIDERA (rest of world) products.</w:t>
      </w:r>
    </w:p>
    <w:p>
      <w:pPr>
        <w:spacing w:after="0" w:line="158" w:lineRule="exact"/>
        <w:rPr>
          <w:sz w:val="20"/>
          <w:szCs w:val="20"/>
          <w:color w:val="auto"/>
        </w:rPr>
      </w:pPr>
    </w:p>
    <w:p>
      <w:pPr>
        <w:ind w:right="480" w:firstLine="445"/>
        <w:spacing w:after="0" w:line="254" w:lineRule="auto"/>
        <w:rPr>
          <w:sz w:val="20"/>
          <w:szCs w:val="20"/>
          <w:color w:val="auto"/>
        </w:rPr>
      </w:pPr>
      <w:r>
        <w:rPr>
          <w:rFonts w:ascii="Arial" w:cs="Arial" w:eastAsia="Arial" w:hAnsi="Arial"/>
          <w:sz w:val="18"/>
          <w:szCs w:val="18"/>
          <w:color w:val="auto"/>
        </w:rPr>
        <w:t>Intangible assets related to trademarks, trade names and IPR&amp;D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Acquired In-process Research and Development (IPR&amp;D)</w:t>
      </w:r>
    </w:p>
    <w:p>
      <w:pPr>
        <w:spacing w:after="0" w:line="108"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revenues from the projects and discounting the net cash flows to present value. The revenues and costs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flows to their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flows, the development process and stage of completion, quantitative significance and our rationale for entering into the transaction.</w:t>
      </w:r>
    </w:p>
    <w:p>
      <w:pPr>
        <w:spacing w:after="0" w:line="15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If we acquire a business as defined under applicable accounting standards, then the acquired IPR&amp;D is capitalized as an intangible asset. If we acquire an asset or group of assets that do not meet the definition of a business under applicable accounting standards, then the acquired IPR&amp;D is expensed on its acquisition date. Future costs to develop these assets are recorded to research and development expense as they are incurred.</w:t>
      </w:r>
    </w:p>
    <w:p>
      <w:pPr>
        <w:spacing w:after="0" w:line="150"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When performing our impairment assessment, we calculate the fair value using the same methodology as described above. If the carrying value of our acquired IPR&amp;D exceeds its fair value, then the intangible asset is written down to its fair value. Changes in estimates and assumptions used in determining the fair value of our acquired IPR&amp;D could result in an impairment. Impairments are recorded within amortization and impairment of acquired intangible assets in our consolidated statements of income. Assets that have been previously impaired, including our vixotrigine (BIIB074) program for the potential treatment of neuropathic pain, such as trigeminal neuralgia (TGN), could become further impaired in the future.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Goodwill</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Goodwill is not amortized, but is reviewed for impairment. Goodwill is reviewed for impairment annually, as of October 31, and whenever events or changes in circumstances indicate that the carrying value of the goodwill may not be recoverable.</w:t>
      </w:r>
    </w:p>
    <w:p>
      <w:pPr>
        <w:spacing w:after="0" w:line="150"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We compare the fair value of our reporting unit to its carrying value. If the carrying value of the net assets assigned to the reporting unit exceeds the fair value of our reporting unit, we would record an impairment loss equal to the difference. As described in </w:t>
      </w:r>
      <w:r>
        <w:rPr>
          <w:rFonts w:ascii="Arial" w:cs="Arial" w:eastAsia="Arial" w:hAnsi="Arial"/>
          <w:sz w:val="18"/>
          <w:szCs w:val="18"/>
          <w:i w:val="1"/>
          <w:iCs w:val="1"/>
          <w:color w:val="auto"/>
        </w:rPr>
        <w:t>Note 24,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these consolidated financial statements, we operate in one operating segment, which is our only reporting unit.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Impairment of Long-Lived Assets</w:t>
      </w:r>
    </w:p>
    <w:p>
      <w:pPr>
        <w:spacing w:after="0" w:line="112"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148" w:lineRule="exact"/>
        <w:rPr>
          <w:sz w:val="20"/>
          <w:szCs w:val="20"/>
          <w:color w:val="auto"/>
        </w:rPr>
      </w:pPr>
    </w:p>
    <w:p>
      <w:pPr>
        <w:jc w:val="both"/>
        <w:ind w:right="300" w:firstLine="445"/>
        <w:spacing w:after="0" w:line="256" w:lineRule="auto"/>
        <w:rPr>
          <w:sz w:val="20"/>
          <w:szCs w:val="20"/>
          <w:color w:val="auto"/>
        </w:rPr>
      </w:pPr>
      <w:r>
        <w:rPr>
          <w:rFonts w:ascii="Arial" w:cs="Arial" w:eastAsia="Arial" w:hAnsi="Arial"/>
          <w:sz w:val="18"/>
          <w:szCs w:val="18"/>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 Long-lived assets to be disposed of are carried at fair value less costs to sell.</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Contingent Consideration</w:t>
      </w:r>
    </w:p>
    <w:p>
      <w:pPr>
        <w:spacing w:after="0" w:line="126" w:lineRule="exact"/>
        <w:rPr>
          <w:sz w:val="20"/>
          <w:szCs w:val="20"/>
          <w:color w:val="auto"/>
        </w:rPr>
      </w:pPr>
    </w:p>
    <w:p>
      <w:pPr>
        <w:ind w:right="180" w:firstLine="445"/>
        <w:spacing w:after="0" w:line="251"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or events.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our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15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Derivative Instruments and Hedging Activities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Cash Flow and Fair Value Derivative Instruments</w:t>
      </w:r>
    </w:p>
    <w:p>
      <w:pPr>
        <w:spacing w:after="0" w:line="122"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in our consolidated balance sheets. Changes in the fair value of our derivative instruments are recognized each period in current earnings or accumulated other comprehensive income (loss), depending on whether the derivative instrument is designated as part of a hedge transaction and, if so, the type of hedge transaction. We classify the cash flows from these instruments in the same category as the cash flows from the hedged items. We do not hold or issue derivative instruments for trading or speculative purposes.</w:t>
      </w:r>
    </w:p>
    <w:p>
      <w:pPr>
        <w:spacing w:after="0" w:line="151"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We assess at inception and on an ongoing basis, whether the derivative instruments that are used in hedging transactions are highly effective in offsetting the changes in cash flows or fair values of the hedged items. We exclude the forward points portion of the derivative instruments used in a hedging transaction from the effectiveness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test and record the fair value gain or loss related to this portion each period in our consolidated statements of income in the same line as the underlying hedged item.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Net Investment Derivative Instruments</w:t>
      </w:r>
    </w:p>
    <w:p>
      <w:pPr>
        <w:spacing w:after="0" w:line="122"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We are exposed to the impact of foreign exchange fluctuations on our investment in the equity of Samsung Bioepis, which is denominated in a currency other than the U.S. dollar, and could adversely impact the U.S. dollar value of this investment. Using derivative instruments, we have hedged our net investment position to mitigate the effects of foreign exchange fluctuations. We recognize these designated net investment hedges as either assets or liabilities, at fair value, in our consolidated balance sheets. We hedge the changes in the spot exchange rate in accumulated other comprehensive income (loss) and exclude changes to the forward rate and amortize the forward points in other income (expense), net in our consolidated statements of income over the term of the contract. We classify the cash flows from these instruments in the same category as the cash flows from the hedged items.</w:t>
      </w:r>
    </w:p>
    <w:p>
      <w:pPr>
        <w:spacing w:after="0" w:line="54" w:lineRule="exact"/>
        <w:rPr>
          <w:sz w:val="20"/>
          <w:szCs w:val="20"/>
          <w:color w:val="auto"/>
        </w:rPr>
      </w:pPr>
    </w:p>
    <w:p>
      <w:pPr>
        <w:ind w:right="340" w:firstLine="445"/>
        <w:spacing w:after="0" w:line="282" w:lineRule="auto"/>
        <w:rPr>
          <w:sz w:val="20"/>
          <w:szCs w:val="20"/>
          <w:color w:val="auto"/>
        </w:rPr>
      </w:pPr>
      <w:r>
        <w:rPr>
          <w:rFonts w:ascii="Arial" w:cs="Arial" w:eastAsia="Arial" w:hAnsi="Arial"/>
          <w:sz w:val="18"/>
          <w:szCs w:val="18"/>
          <w:color w:val="auto"/>
        </w:rPr>
        <w:t xml:space="preserve">For additional information on our derivative instruments and hedging activities, please read </w:t>
      </w:r>
      <w:r>
        <w:rPr>
          <w:rFonts w:ascii="Arial" w:cs="Arial" w:eastAsia="Arial" w:hAnsi="Arial"/>
          <w:sz w:val="18"/>
          <w:szCs w:val="18"/>
          <w:i w:val="1"/>
          <w:iCs w:val="1"/>
          <w:color w:val="auto"/>
        </w:rPr>
        <w:t>Note 9, Derivative Instruments</w:t>
      </w:r>
      <w:r>
        <w:rPr>
          <w:rFonts w:ascii="Arial" w:cs="Arial" w:eastAsia="Arial" w:hAnsi="Arial"/>
          <w:sz w:val="18"/>
          <w:szCs w:val="18"/>
          <w:color w:val="auto"/>
        </w:rPr>
        <w:t>, to these consolidated financial statements.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Translation of Foreign Currencies</w:t>
      </w:r>
    </w:p>
    <w:p>
      <w:pPr>
        <w:spacing w:after="0" w:line="12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accumulated other comprehensive income,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Royalty Cost of Sales</w:t>
      </w:r>
    </w:p>
    <w:p>
      <w:pPr>
        <w:spacing w:after="0" w:line="126"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make royalty payments to a number of third 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Accounting for Share-Based Compensation</w:t>
      </w:r>
    </w:p>
    <w:p>
      <w:pPr>
        <w:spacing w:after="0" w:line="11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share-based compensation programs grant awards that have included stock options, restricted stock units that vest based on stock performance known as market stock units (MSUs), performance-vested restricted stock units that settle in cash (CSPUs), time-vested restricted stock units (RSUs), performance-vested restricted stock units that can be settled in cash or shares of our common stock (PUs) at the sole discretion of the Compensation and Management Development Committee of our Board of Directors, performance-vested stock units that settle in stock or cash (PSUs) and shares issued under our employee stock purchase plan (ESPP). Compensation expense is recognized based on the estimated fair value of the awards at grant date. We recognize compensation expense for the number of awards expected to vest after taking into consideration an estimate of award forfeitures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the employee becomes retirement eligible.</w:t>
      </w:r>
    </w:p>
    <w:p>
      <w:pPr>
        <w:spacing w:after="0" w:line="157"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 fair values of our MSUs are estimated using a lattice model with a Monte Carlo simulation. We apply an accelerated attribution method to recognize share-based compensation expense over the applicable service period</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our MSUs. The probability of actual shares expected to be earned is considered in the grant date valuation, therefore the expense is not adjusted to reflect the actual units earned.</w:t>
      </w:r>
    </w:p>
    <w:p>
      <w:pPr>
        <w:spacing w:after="0" w:line="144"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fair values of our RSUs are based on the market value of our stock on the date of grant. Compensation expense for RSUs is recognized straight-line over the applicable service period.</w:t>
      </w:r>
    </w:p>
    <w:p>
      <w:pPr>
        <w:spacing w:after="0" w:line="14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apply an accelerated attribution method to recognize share-based compensation expense when accounting for our CSPUs, PUs and PSUs that settle in cash, and the fair value of the liability is remeasured at the end of each reporting period through expected settlement. Compensation expense associated with CSPUs, PUs and PSUs that settle in cash are based upon the stock price and the number of units expected to be earned after assessing the probability that certain performance criteria will be met and the targeted payout level associated with the performance criteria expected to be achieved. Cumulative adjustments are recorded each quarter to reflect changes in the stock price and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151"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fair values of PSUs that settle in stock are based upon the stock price on the date of grant. Compensation expense is recognized for the number of units expected to be earned after assessing the probability that certain performance criteria will be met and the targeted payout level associated with the performance criteria expected to be achieved. Cumulative adjustments are recorded each quarter to reflect the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Research and Development Expenses</w:t>
      </w:r>
    </w:p>
    <w:p>
      <w:pPr>
        <w:spacing w:after="0" w:line="126"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which include compensation and benefits, facilities and overhead expenses, clinical trial expenses and fees paid to contract research organizations (CROs), clinical supply and manufacturing expenses, write-offs of inventory that was previously capitalized in anticipation of product launch and determined to no longer be realizable and other outside expenses and upfront fees and milestones paid to third-party collaborators. Research and development expenses are expensed as incurred. Upfront and milestone payments made to third-party collaborators are expensed as incurred up to the point of regulatory approval. Milestone payments made upon regulatory approval are capitalized and amortized over the remaining useful life of the related product. Payments we make for research and development services prior to the services being rendered are recorded as prepaid assets in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157" w:lineRule="exact"/>
        <w:rPr>
          <w:sz w:val="20"/>
          <w:szCs w:val="20"/>
          <w:color w:val="auto"/>
        </w:rPr>
      </w:pPr>
    </w:p>
    <w:p>
      <w:pPr>
        <w:ind w:right="300" w:firstLine="445"/>
        <w:spacing w:after="0" w:line="252" w:lineRule="auto"/>
        <w:rPr>
          <w:sz w:val="20"/>
          <w:szCs w:val="20"/>
          <w:color w:val="auto"/>
        </w:rPr>
      </w:pPr>
      <w:r>
        <w:rPr>
          <w:rFonts w:ascii="Arial" w:cs="Arial" w:eastAsia="Arial" w:hAnsi="Arial"/>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these consolidated financial statements. Because an initial indication has been approved for both RITUXAN and GAZYVA, expenses incurred by Genentech in the ongoing development of RITUXAN and GAZYVA are not recorded as research and development expense, but rather reduce our share of profits recorded as a component of revenues from anti-CD20 therapeutic programs.</w:t>
      </w:r>
    </w:p>
    <w:p>
      <w:pPr>
        <w:spacing w:after="0" w:line="154"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For collaborations with commercialized products, if we are the principal, we record revenues and the corresponding operating costs in their respective line items in our consolidated statements of income. If we are not the principal, we record operating costs as a reduction of revenue.</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Selling, General and Administrative Expenses</w:t>
      </w:r>
    </w:p>
    <w:p>
      <w:pPr>
        <w:spacing w:after="0" w:line="112"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Selling, general and administrative expenses are primarily comprised of compensation and benefits associated with sales and marketing, finance, human resources, legal, information technology and other administrative personnel, outside marketing, advertising and legal expenses and other general and administrative costs.</w:t>
      </w:r>
    </w:p>
    <w:p>
      <w:pPr>
        <w:spacing w:after="0" w:line="148"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Advertising costs are expensed as incurred. For the years ended December 31, 2020, 2019 and 2018, advertising costs totaled $111.8 million, $79.2 million and $90.2 million, respectively.</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Income Taxes</w:t>
      </w:r>
    </w:p>
    <w:p>
      <w:pPr>
        <w:spacing w:after="0" w:line="126"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asset and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 We recognize deferred taxes associated with our global intangible low-taxed income (GILTI) tax calculations.</w:t>
      </w:r>
    </w:p>
    <w:p>
      <w:pPr>
        <w:spacing w:after="0" w:line="153"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The income tax consequences from the intra-entity transfers of inventory within our consolidated group, both current and deferred, are recorded as a prepaid tax or deferred charge and recognized through our consolidated statements of income when the inventory is sold to a third party.</w:t>
      </w:r>
    </w:p>
    <w:p>
      <w:pPr>
        <w:spacing w:after="0" w:line="130"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 of Assets Other Than Inventory</w:t>
      </w:r>
      <w:r>
        <w:rPr>
          <w:rFonts w:ascii="Arial" w:cs="Arial" w:eastAsia="Arial" w:hAnsi="Arial"/>
          <w:sz w:val="18"/>
          <w:szCs w:val="18"/>
          <w:color w:val="auto"/>
        </w:rPr>
        <w:t>. This standard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w:t>
      </w:r>
    </w:p>
    <w:p>
      <w:pPr>
        <w:spacing w:after="0" w:line="14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adopted this standard on January 1, 2018, using the modified retrospective method, through a cumulative-effect adjustment to retained earnings as of that date. Upon adoption, we recognized additional net deferred tax assets of approximately $0.5 billion, offset by a corresponding net increase to retained earnings of approximately $0.5 billion. In the fourth quarter of 2018, when we elected to begin recognizing deferred taxes on the GILTI tax calculation, we recorded an additional deferred tax liability of $0.4 billion with a corresponding reduction to our retained earnings as these differences are related to intra-entity transactions. We will recognize incremental deferred income tax expense thereafter as these deferred tax assets and liabilities are utilized.</w:t>
      </w:r>
    </w:p>
    <w:p>
      <w:pPr>
        <w:spacing w:after="0" w:line="154"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expense.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Contingencies</w:t>
      </w:r>
    </w:p>
    <w:p>
      <w:pPr>
        <w:spacing w:after="0" w:line="112"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Legal costs associated with legal proceedings are expensed when incurred.</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Earnings per Share</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Basic earnings per share is computed by dividing undistributed net income attributable to Biogen Inc.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New Accounting Pronouncements</w:t>
      </w:r>
    </w:p>
    <w:p>
      <w:pPr>
        <w:spacing w:after="0" w:line="126"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Leases</w:t>
      </w:r>
    </w:p>
    <w:p>
      <w:pPr>
        <w:spacing w:after="0" w:line="122"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 xml:space="preserve">In February 2016 the FASB issued the new leasing standards to increase transparency and comparability among organizations related to their leasing activities. For additional information on the adoption of the new leasing standards, please read the section titled </w:t>
      </w:r>
      <w:r>
        <w:rPr>
          <w:rFonts w:ascii="Arial" w:cs="Arial" w:eastAsia="Arial" w:hAnsi="Arial"/>
          <w:sz w:val="18"/>
          <w:szCs w:val="18"/>
          <w:i w:val="1"/>
          <w:iCs w:val="1"/>
          <w:color w:val="auto"/>
        </w:rPr>
        <w:t>Lease</w:t>
      </w:r>
      <w:r>
        <w:rPr>
          <w:rFonts w:ascii="Arial" w:cs="Arial" w:eastAsia="Arial" w:hAnsi="Arial"/>
          <w:sz w:val="18"/>
          <w:szCs w:val="18"/>
          <w:color w:val="auto"/>
        </w:rPr>
        <w:t xml:space="preserve"> above, and </w:t>
      </w:r>
      <w:r>
        <w:rPr>
          <w:rFonts w:ascii="Arial" w:cs="Arial" w:eastAsia="Arial" w:hAnsi="Arial"/>
          <w:sz w:val="18"/>
          <w:szCs w:val="18"/>
          <w:i w:val="1"/>
          <w:iCs w:val="1"/>
          <w:color w:val="auto"/>
        </w:rPr>
        <w:t>Note 11, Leases</w:t>
      </w:r>
      <w:r>
        <w:rPr>
          <w:rFonts w:ascii="Arial" w:cs="Arial" w:eastAsia="Arial" w:hAnsi="Arial"/>
          <w:sz w:val="18"/>
          <w:szCs w:val="18"/>
          <w:color w:val="auto"/>
        </w:rPr>
        <w:t>, to these consolidated financial statements.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Credit Losses</w:t>
      </w:r>
    </w:p>
    <w:p>
      <w:pPr>
        <w:spacing w:after="0" w:line="9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FASB subsequently issued amendments to ASU 2016-13, which have the same effective date and transition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January 1, 2020. These standards require that credit losses be reported using an expected losses model rather than the incurred losses model that is currently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w:t>
      </w:r>
    </w:p>
    <w:p>
      <w:pPr>
        <w:spacing w:after="0" w:line="8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Based on the composition of our investment portfolio, accounts receivable and other financial assets, current market conditions and historical credit loss activity, the adoption of these standards did not have a material impact on our consolidated financial position and results of operations and related disclosures.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Debt Securities</w:t>
      </w:r>
    </w:p>
    <w:p>
      <w:pPr>
        <w:spacing w:after="0" w:line="171" w:lineRule="exact"/>
        <w:rPr>
          <w:sz w:val="20"/>
          <w:szCs w:val="20"/>
          <w:color w:val="auto"/>
        </w:rPr>
      </w:pPr>
    </w:p>
    <w:p>
      <w:pPr>
        <w:ind w:right="40" w:firstLine="445"/>
        <w:spacing w:after="0" w:line="258"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 - Nonrefundable Fees and Other Costs (Subtopic 310-20): Premium</w:t>
      </w:r>
      <w:r>
        <w:rPr>
          <w:rFonts w:ascii="Arial" w:cs="Arial" w:eastAsia="Arial" w:hAnsi="Arial"/>
          <w:sz w:val="18"/>
          <w:szCs w:val="18"/>
          <w:color w:val="auto"/>
        </w:rPr>
        <w:t xml:space="preserve"> </w:t>
      </w:r>
      <w:r>
        <w:rPr>
          <w:rFonts w:ascii="Arial" w:cs="Arial" w:eastAsia="Arial" w:hAnsi="Arial"/>
          <w:sz w:val="18"/>
          <w:szCs w:val="18"/>
          <w:i w:val="1"/>
          <w:iCs w:val="1"/>
          <w:color w:val="auto"/>
        </w:rPr>
        <w:t>Amortization on Purchased Callable Debt Securities</w:t>
      </w:r>
      <w:r>
        <w:rPr>
          <w:rFonts w:ascii="Arial" w:cs="Arial" w:eastAsia="Arial" w:hAnsi="Arial"/>
          <w:sz w:val="18"/>
          <w:szCs w:val="18"/>
          <w:color w:val="auto"/>
        </w:rPr>
        <w:t>. This standard amends the amortization period for certain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at a premium by shortening the amortization period to the earliest call date. This standard became effective for us on January 1, 2019, and was adopted using a modified retrospective transition approach. The adoption of this standard did not result in a significant adjustment to our marketable debt securities.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Fair Value Measurements</w:t>
      </w:r>
    </w:p>
    <w:p>
      <w:pPr>
        <w:spacing w:after="0" w:line="171" w:lineRule="exact"/>
        <w:rPr>
          <w:sz w:val="20"/>
          <w:szCs w:val="20"/>
          <w:color w:val="auto"/>
        </w:rPr>
      </w:pPr>
    </w:p>
    <w:p>
      <w:pPr>
        <w:ind w:right="120" w:firstLine="445"/>
        <w:spacing w:after="0" w:line="266"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This standard modifies certain disclosure requirements on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became effective for us on January 1, 2020. The adoption of this standard did not have a material impact on our disclosures.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Derivative Instruments and Hedging Activities</w:t>
      </w:r>
    </w:p>
    <w:p>
      <w:pPr>
        <w:spacing w:after="0" w:line="171"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 xml:space="preserve">In October 2018 the FASB issued ASU No. 2018-16, </w:t>
      </w:r>
      <w:r>
        <w:rPr>
          <w:rFonts w:ascii="Arial" w:cs="Arial" w:eastAsia="Arial" w:hAnsi="Arial"/>
          <w:sz w:val="18"/>
          <w:szCs w:val="18"/>
          <w:i w:val="1"/>
          <w:iCs w:val="1"/>
          <w:color w:val="auto"/>
        </w:rPr>
        <w:t>Derivatives and Hedging (Topic 815): Inclusion of the Secured Overnight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Financing Rate (SOFR) Overnight Index Swap (OIS) Rate as a Benchmark Interest Rate for Hedge Accounting Purposes. </w:t>
      </w:r>
      <w:r>
        <w:rPr>
          <w:rFonts w:ascii="Arial" w:cs="Arial" w:eastAsia="Arial" w:hAnsi="Arial"/>
          <w:sz w:val="18"/>
          <w:szCs w:val="18"/>
          <w:color w:val="auto"/>
        </w:rPr>
        <w:t>This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permits use of the OIS rate based on the SOFR as a U.S. benchmark interest rate for hedge accounting purposes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This standard became effective for us on January 1, 2019, and did not have an impact on our consolidated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operations or financial position.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Collaborative Arrangements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Topic 808 and Topic 606. </w:t>
      </w:r>
      <w:r>
        <w:rPr>
          <w:rFonts w:ascii="Arial" w:cs="Arial" w:eastAsia="Arial" w:hAnsi="Arial"/>
          <w:sz w:val="18"/>
          <w:szCs w:val="18"/>
          <w:color w:val="auto"/>
        </w:rPr>
        <w:t>This standard makes targeted improvements for collaborative arrangements as follows:</w:t>
      </w:r>
    </w:p>
    <w:p>
      <w:pPr>
        <w:spacing w:after="0" w:line="171" w:lineRule="exact"/>
        <w:rPr>
          <w:sz w:val="20"/>
          <w:szCs w:val="20"/>
          <w:color w:val="auto"/>
        </w:rPr>
      </w:pPr>
    </w:p>
    <w:p>
      <w:pPr>
        <w:ind w:left="740" w:right="60" w:hanging="327"/>
        <w:spacing w:after="0" w:line="254"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Clarifies that certain transactions between collaborative arrangement participants should be accounted for as revenue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when the collaborative arrangement participant is a customer in the context of a unit of account. In those situations, all the guidance in ASC 606 should be applied, including recognition, measurement, presentation and disclosure requirements;</w:t>
      </w:r>
    </w:p>
    <w:p>
      <w:pPr>
        <w:spacing w:after="0" w:line="131" w:lineRule="exact"/>
        <w:rPr>
          <w:rFonts w:ascii="Arial" w:cs="Arial" w:eastAsia="Arial" w:hAnsi="Arial"/>
          <w:sz w:val="18"/>
          <w:szCs w:val="18"/>
          <w:color w:val="auto"/>
        </w:rPr>
      </w:pPr>
    </w:p>
    <w:p>
      <w:pPr>
        <w:ind w:left="740" w:hanging="327"/>
        <w:spacing w:after="0" w:line="266"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Adds unit-of-account guidance to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to align with the guidance in ASC 606 (that is, a distinct good or service) when an entity is assessing whether the collaborative arrangement or a part of the arrangement is within the scope of ASC 606; and</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740" w:right="180" w:hanging="327"/>
        <w:spacing w:after="0" w:line="261"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Precludes a company from presenting transactions with collaborative arrangement participants that are not directly related to sales to third parties with revenue recognized under ASC 606 if the collaborative arrangement participant is not a customer.</w:t>
      </w:r>
    </w:p>
    <w:p>
      <w:pPr>
        <w:spacing w:after="0" w:line="14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This standard became effective for us on January 1, 2020. A retrospective transition approach is required for either all contracts or only for contracts that are not completed at the date of initial application of ASC 606, with a cumulative adjustment to opening retained earnings, as of January 1, 2018. The adoption of this standard did not have a material impact on our consolidated financial position, results of operations and related disclosures.</w:t>
      </w:r>
    </w:p>
    <w:p>
      <w:pPr>
        <w:spacing w:after="0" w:line="132"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22"/>
          <w:szCs w:val="22"/>
          <w:b w:val="1"/>
          <w:bCs w:val="1"/>
          <w:color w:val="578196"/>
        </w:rPr>
      </w:pPr>
      <w:r>
        <w:rPr>
          <w:rFonts w:ascii="Arial" w:cs="Arial" w:eastAsia="Arial" w:hAnsi="Arial"/>
          <w:sz w:val="22"/>
          <w:szCs w:val="22"/>
          <w:b w:val="1"/>
          <w:bCs w:val="1"/>
          <w:color w:val="578196"/>
        </w:rPr>
        <w:t>Acquisitions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BIIB118 Acquisition</w:t>
      </w:r>
    </w:p>
    <w:p>
      <w:pPr>
        <w:spacing w:after="0" w:line="12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In March 2020 we acquired BIIB118 (CK1 inhibitor), a novel CNS-penetrant small molecule inhibitor of casein kinase 1, for the potential treatment of patients with behavioral and neurological symptoms across various psychiatric and neurological diseases from Pfizer Inc. (Pfizer). We are developing BIIB118 for the potential treatment of irregular sleep wake rhythm disorder in Parkinson’s disease and plan to develop BIIB118 for the potential treatment of sundowning in Alzheimer's disease.</w:t>
      </w:r>
    </w:p>
    <w:p>
      <w:pPr>
        <w:spacing w:after="0" w:line="69" w:lineRule="exact"/>
        <w:rPr>
          <w:sz w:val="20"/>
          <w:szCs w:val="20"/>
          <w:color w:val="auto"/>
        </w:rPr>
      </w:pPr>
    </w:p>
    <w:p>
      <w:pPr>
        <w:ind w:right="360" w:firstLine="445"/>
        <w:spacing w:after="0" w:line="254" w:lineRule="auto"/>
        <w:rPr>
          <w:sz w:val="20"/>
          <w:szCs w:val="20"/>
          <w:color w:val="auto"/>
        </w:rPr>
      </w:pPr>
      <w:r>
        <w:rPr>
          <w:rFonts w:ascii="Arial" w:cs="Arial" w:eastAsia="Arial" w:hAnsi="Arial"/>
          <w:sz w:val="18"/>
          <w:szCs w:val="18"/>
          <w:color w:val="auto"/>
        </w:rPr>
        <w:t>In connection with this acquisition, we made an upfront payment of $75.0 million to Pfizer, which was accounted for as an asset acquisition and recorded as acquired IPR&amp;D in our consolidated statements of income as BIIB118 has not yet reached technological feasibility. We may also pay Pfizer up to $635.0 million in potential additional development and commercialization milestone payments as well as tiered royalties in the high single digits to sub-teens.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Acquisition of Nightstar Therapeutics plc</w:t>
      </w:r>
    </w:p>
    <w:p>
      <w:pPr>
        <w:spacing w:after="0" w:line="126"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In June 2019 we completed our acquisition of all of the outstanding shares of Nightstar Therapeutics plc (NST), a clinical-stage gene therapy company focused on adeno-associated virus treatments for inherited retinal disorders. As a result of this acquisition, we added two mid- to late-stage clinical assets, as well as preclinical programs, in ophthalmology. These assets include BIIB111 (timrepigene emparvovec), which is in Phase 3 development for the potential treatment of choroideremia, a rare, degenerative, X-linked inherited retinal disorder that leads to blindness and currently has no approved treatments, and BIIB112 (RPGR gene therapy), which is in Phase 2/3 development for the potential treatment of X-linked retinitis pigmentosa, which is a rare inherited retinal disease with no currently approved treatments.</w:t>
      </w:r>
    </w:p>
    <w:p>
      <w:pPr>
        <w:spacing w:after="0" w:line="139"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Under the terms of the acquisition, we paid NST shareholders $25.50 in cash for each issued and outstanding NST share, which totaled $847.6 million. In addition, we paid $4.6 million in cash for equity compensation, which is attributable to pre-combination services and is reflected as a component of the total purchase price paid. The fair value of equity compensation attributable to the post-combination service period was $26.2 million, of which $18.4 million was recognized as a charge to selling, general and administrative expense with the remaining $7.8 million as a charge to research and development expense in our consolidated statements of income. These amounts were associated with the accelerated vesting of stock options previously granted to NST employees and were fully paid in cash as of June 30, 2019. We funded this acquisition through available cash and accounted for it as an acquisition of a business. We finalized purchase accounting for this acquisition in the fourth quarter of 2019.</w:t>
      </w:r>
    </w:p>
    <w:p>
      <w:pPr>
        <w:spacing w:after="0" w:line="15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fair value of the IPR&amp;D programs acquired was determined through a probability adjusted discounted cash flow analysis utilizing a discount rate of 12.5%. We recorded IPR&amp;D assets for BIIB111 and BIIB112 at their initial fair values of $480.0 million and $ 220.0 million, respectively. Some of the more significant assumptions utilized in our asset valuations included the estimated net cash flows for each year for each asset or product, including net revenues, cost of sales, research and development and other operating expenses, the potential regulatory and commercial success risks, competitive trends impacting the asset and each cash flow stream as well as other factors. These fair value measurements were based on significant inputs not observable in the market and thus represent Level 3 fair value measurements.</w:t>
      </w:r>
    </w:p>
    <w:p>
      <w:pPr>
        <w:spacing w:after="0" w:line="154" w:lineRule="exact"/>
        <w:rPr>
          <w:sz w:val="20"/>
          <w:szCs w:val="20"/>
          <w:color w:val="auto"/>
        </w:rPr>
      </w:pPr>
    </w:p>
    <w:p>
      <w:pPr>
        <w:jc w:val="both"/>
        <w:ind w:right="220" w:firstLine="445"/>
        <w:spacing w:after="0" w:line="254" w:lineRule="auto"/>
        <w:rPr>
          <w:sz w:val="20"/>
          <w:szCs w:val="20"/>
          <w:color w:val="auto"/>
        </w:rPr>
      </w:pPr>
      <w:r>
        <w:rPr>
          <w:rFonts w:ascii="Arial" w:cs="Arial" w:eastAsia="Arial" w:hAnsi="Arial"/>
          <w:sz w:val="18"/>
          <w:szCs w:val="18"/>
          <w:color w:val="auto"/>
        </w:rPr>
        <w:t>We recognized goodwill in relation to the fair value associated with NST workforce's expertise and early research in retinal disorders. We also recognized goodwill in relation to the establishment of a deferred tax liability for the acquired IPR&amp;D intangible assets, which have no tax basis. This deferred tax liability is net of the related impacts on the deferred taxes for GILTI. Goodwill that is tax deductible for GILTI purposes is approximately $60.9 million as of December 31, 2020.</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jc w:val="both"/>
        <w:ind w:right="720" w:firstLine="445"/>
        <w:spacing w:after="0" w:line="256" w:lineRule="auto"/>
        <w:rPr>
          <w:sz w:val="20"/>
          <w:szCs w:val="20"/>
          <w:color w:val="auto"/>
        </w:rPr>
      </w:pPr>
      <w:r>
        <w:rPr>
          <w:rFonts w:ascii="Arial" w:cs="Arial" w:eastAsia="Arial" w:hAnsi="Arial"/>
          <w:sz w:val="18"/>
          <w:szCs w:val="18"/>
          <w:color w:val="auto"/>
        </w:rPr>
        <w:t>Pro forma results of operations as a result of this acquisition have not been presented as this acquisition is not material to our consolidated statements of income. Subsequent to June 7, 2019, the acquisition date, our results of operations include the results of operations of NST.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BIIB100 Acquisition</w:t>
      </w:r>
    </w:p>
    <w:p>
      <w:pPr>
        <w:spacing w:after="0" w:line="12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January 2018 we acquired BIIB100 (XP01 inhibitor) from Karyopharm Therapeutics Inc. (Karyopharm). BIIB100 is a Phase 1 investigational oral compound for the potential treatment of certain neurological and neurodegenerative diseases, primarily in ALS. BIIB100 is a novel therapeutic candidate that works by inhibiting a protein known as XPO1, with the goal of reducing inflammation and neurotoxicity, along with increasing neuroprotective responses.</w:t>
      </w:r>
    </w:p>
    <w:p>
      <w:pPr>
        <w:spacing w:after="0" w:line="150"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In connection with the closing of this transaction, we made an upfront payment of $10.0 million to Karyopharm, which was recorded as acquired IPR&amp;D in our consolidated statements of income as BIIB100 had not yet reached technological feasibility. We may also pay Karyopharm up to $207.0 million in additional milestone payments as well as tiered royalties on potential net commercial sales in the mid-single digit to low-teen percentages.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BIIB104 Acquisition</w:t>
      </w:r>
    </w:p>
    <w:p>
      <w:pPr>
        <w:spacing w:after="0" w:line="112"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In April 2018 we acquired BIIB104 (AMPA) from Pfizer. BIIB104 is a first-in-class, Phase 2b ready AMPA receptor potentiator for cognitive impairment associated with schizophrenia. AMPA receptors mediate fast excitatory synaptic transmission in the central nervous system, a process which can be disrupted in a number of neurological and psychiatric diseases, including schizophrenia.</w:t>
      </w:r>
    </w:p>
    <w:p>
      <w:pPr>
        <w:spacing w:after="0" w:line="148"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In connection with the closing of this transaction, we made an upfront payment of $75.0 million to Pfizer, which was recorded as acquired IPR&amp;D in our consolidated statements of income as BIIB104 had not yet reached technological feasibility. We may also pay Pfizer up to $515.0 million in total development and commercialization milestone payments as well as tiered royalties on potential net commercial sales in the low to mid-teen percentages.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BIIB110 Acquisition</w:t>
      </w:r>
    </w:p>
    <w:p>
      <w:pPr>
        <w:spacing w:after="0" w:line="126"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In July 2018 we acquired BIIB110 (ActRIIA/B ligand trap) and ALG-802 from AliveGen Inc. (AliveGen). BIIB110 and ALG-802 represent novel ways of targeting the myostatin pathway. We initially plan to study BIIB110 in multiple neuromuscular indications, including SMA and ALS.</w:t>
      </w:r>
    </w:p>
    <w:p>
      <w:pPr>
        <w:spacing w:after="0" w:line="148"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In connection with the closing of this transaction, we made an upfront payment of $27.5 million to AliveGen, which was recorded as acquired IPR&amp;D in our consolidated statements of income as BIIB110 had not yet reached technological feasibility. We may also pay AliveGen up to $535.0 million in additional development and commercialization milestones.</w:t>
      </w:r>
    </w:p>
    <w:p>
      <w:pPr>
        <w:spacing w:after="0" w:line="226"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22"/>
          <w:szCs w:val="22"/>
          <w:b w:val="1"/>
          <w:bCs w:val="1"/>
          <w:color w:val="578196"/>
        </w:rPr>
      </w:pPr>
      <w:r>
        <w:rPr>
          <w:rFonts w:ascii="Arial" w:cs="Arial" w:eastAsia="Arial" w:hAnsi="Arial"/>
          <w:sz w:val="22"/>
          <w:szCs w:val="22"/>
          <w:b w:val="1"/>
          <w:bCs w:val="1"/>
          <w:color w:val="578196"/>
        </w:rPr>
        <w:t>Divestitures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Divestiture of Hillerød, Denmark Manufacturing Operations</w:t>
      </w:r>
    </w:p>
    <w:p>
      <w:pPr>
        <w:spacing w:after="0" w:line="11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August 2019 we completed the sale of all of the outstanding shares of our subsidiary that owned our biologics manufacturing operations in Hillerød, Denmark to FUJIFILM Corporation (FUJIFILM). Upon the closing of this transaction, we received approximately $881.9 million in cash, which may be adjusted based on other contractual terms, which are discussed below. We determined that the operations disposed of in this transaction did not meet the criteria to be classified as discontinued operations under the applicable guidance.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As part of this transaction,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may further adjust this estimate based upon changes in business conditions, which may result in the increase or reduction of this adverse commitment obligation in subsequent periods. We also may be obligated to indemnify FUJIFILM for liabilities that existed relating to certain business activities incurred prior to the closing of this transaction.</w:t>
      </w:r>
    </w:p>
    <w:p>
      <w:pPr>
        <w:spacing w:after="0" w:line="13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addition, we may earn certain contingent payments based on future manufacturing activities at the Hillerød facility. For the disposition of a business, our policy is to recognize contingent consideration when the consideration is realizable. We currently believe the probability of earning these payments is remote and therefore we did not include these contingent payments in our calculation of the fair value of the operations.</w:t>
      </w:r>
    </w:p>
    <w:p>
      <w:pPr>
        <w:spacing w:after="0" w:line="150"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As part of this transaction, we entered into certain manufacturing services agreements with FUJIFILM pursuant to which FUJIFILM will use the Hillerød facility to produce commercial products for us, such as TYSABRI, as well as other third-party products.</w:t>
      </w:r>
    </w:p>
    <w:p>
      <w:pPr>
        <w:spacing w:after="0" w:line="14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For the year ended December 31, 2019, we recognized a total net loss of approximately $124.2 million related to the transaction in our consolidated statements of income. This loss included a pre-tax loss of $55.3 million, which was recorded in loss on divestiture of Hillerød, Denmark manufacturing operations. The loss recognized was based on exchange rates and business conditions on the closing date of this transaction, and included costs to sell our Hillerød, Denmark manufacturing operations of approximately $ 11.2 million and our estimate of the fair value of adverse commitments of approximately $74.0 million, primarily associated with the guarantee of future minimum batch production at the Hillerød facility. We also recorded a tax expense of $68.9 million related to this transaction.</w:t>
      </w:r>
    </w:p>
    <w:p>
      <w:pPr>
        <w:spacing w:after="0" w:line="154"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In addition, upon the closing of this transaction, we sold to FUJIFILM $41.8 million of raw materials that were remaining at the Hillerød facility on the closing date of this transaction. These materials were sold at cost, which approximates fair value.</w:t>
      </w:r>
    </w:p>
    <w:p>
      <w:pPr>
        <w:spacing w:after="0" w:line="144"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During the year ended December 31, 2020, we reduced our estimate of the fair value of the adverse commitment associated with the guarantee of future batch production by approximately $62.0 million based on our current manufacturing forecasts. Additionally, we recorded a reduction to our pre-tax loss of approximately $30.5 million due to a refund of interest paid associated with a tax matter.</w:t>
      </w:r>
    </w:p>
    <w:p>
      <w:pPr>
        <w:spacing w:after="0" w:line="148"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Our estimate of the fair value of the adverse commitments is a Level 3 measurement and is based on forecasted batch production at the Hillerød facility.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22"/>
          <w:szCs w:val="22"/>
          <w:b w:val="1"/>
          <w:bCs w:val="1"/>
          <w:color w:val="578196"/>
        </w:rPr>
      </w:pPr>
      <w:r>
        <w:rPr>
          <w:rFonts w:ascii="Arial" w:cs="Arial" w:eastAsia="Arial" w:hAnsi="Arial"/>
          <w:sz w:val="22"/>
          <w:szCs w:val="22"/>
          <w:b w:val="1"/>
          <w:bCs w:val="1"/>
          <w:color w:val="578196"/>
        </w:rPr>
        <w:t>Revenues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472B9"/>
        </w:rPr>
        <w:t>Product Revenues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by product are summarized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680" w:type="dxa"/>
            <w:vAlign w:val="bottom"/>
            <w:tcBorders>
              <w:bottom w:val="single" w:sz="8" w:color="auto"/>
            </w:tcBorders>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68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3BA"/>
              </w:rPr>
              <w:t>2020</w:t>
            </w: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40" w:type="dxa"/>
            <w:vAlign w:val="bottom"/>
            <w:tcBorders>
              <w:bottom w:val="single" w:sz="8" w:color="auto"/>
            </w:tcBorders>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74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16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Fumarate*</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2,742.0</w:t>
            </w:r>
          </w:p>
        </w:tc>
        <w:tc>
          <w:tcPr>
            <w:tcW w:w="28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1,163.4</w:t>
            </w:r>
          </w:p>
        </w:tc>
        <w:tc>
          <w:tcPr>
            <w:tcW w:w="340" w:type="dxa"/>
            <w:vAlign w:val="bottom"/>
            <w:gridSpan w:val="4"/>
            <w:shd w:val="clear" w:color="auto" w:fill="DDDDDD"/>
          </w:tcPr>
          <w:p>
            <w:pPr>
              <w:jc w:val="right"/>
              <w:ind w:right="100"/>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3,905.4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3,312.0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1,126.2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4,438.2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3,253.2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1,020.9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4,274.1</w:t>
            </w: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Interferon**</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1,273.5</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604.0</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1,877.5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2,363.0</w:t>
            </w: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1,096.8</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849.3</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1,946.1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1,892.2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1,864.0</w:t>
            </w: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103.1</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ZINBRYTA</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2400" w:type="dxa"/>
            <w:vAlign w:val="bottom"/>
            <w:gridSpan w:val="2"/>
          </w:tcPr>
          <w:p>
            <w:pPr>
              <w:ind w:left="220"/>
              <w:spacing w:after="0"/>
              <w:rPr>
                <w:sz w:val="20"/>
                <w:szCs w:val="20"/>
                <w:color w:val="auto"/>
              </w:rPr>
            </w:pPr>
            <w:r>
              <w:rPr>
                <w:rFonts w:ascii="Arial" w:cs="Arial" w:eastAsia="Arial" w:hAnsi="Arial"/>
                <w:sz w:val="14"/>
                <w:szCs w:val="14"/>
                <w:color w:val="auto"/>
              </w:rPr>
              <w:t>Subtotal: MS</w:t>
            </w: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5,112.3</w:t>
            </w:r>
          </w:p>
        </w:tc>
        <w:tc>
          <w:tcPr>
            <w:tcW w:w="20" w:type="dxa"/>
            <w:vAlign w:val="bottom"/>
            <w:tcBorders>
              <w:top w:val="single" w:sz="8" w:color="auto"/>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2,719.8</w:t>
            </w:r>
          </w:p>
        </w:tc>
        <w:tc>
          <w:tcPr>
            <w:tcW w:w="40" w:type="dxa"/>
            <w:vAlign w:val="bottom"/>
            <w:tcBorders>
              <w:top w:val="single" w:sz="8" w:color="auto"/>
            </w:tcBorders>
            <w:shd w:val="clear" w:color="auto" w:fill="DDDDDD"/>
          </w:tcPr>
          <w:p>
            <w:pPr>
              <w:spacing w:after="0"/>
              <w:rPr>
                <w:sz w:val="15"/>
                <w:szCs w:val="15"/>
                <w:color w:val="auto"/>
              </w:rPr>
            </w:pPr>
          </w:p>
        </w:tc>
        <w:tc>
          <w:tcPr>
            <w:tcW w:w="100" w:type="dxa"/>
            <w:vAlign w:val="bottom"/>
            <w:tcBorders>
              <w:top w:val="single" w:sz="8" w:color="DDDDDD"/>
            </w:tcBorders>
            <w:shd w:val="clear" w:color="auto" w:fill="DDDDDD"/>
          </w:tcPr>
          <w:p>
            <w:pPr>
              <w:spacing w:after="0"/>
              <w:rPr>
                <w:sz w:val="15"/>
                <w:szCs w:val="15"/>
                <w:color w:val="auto"/>
              </w:rPr>
            </w:pPr>
          </w:p>
        </w:tc>
        <w:tc>
          <w:tcPr>
            <w:tcW w:w="40" w:type="dxa"/>
            <w:vAlign w:val="bottom"/>
            <w:tcBorders>
              <w:top w:val="single" w:sz="8" w:color="auto"/>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740" w:type="dxa"/>
            <w:vAlign w:val="bottom"/>
            <w:tcBorders>
              <w:top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7,832.1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5,780.4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2,748.9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8,529.3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5,946.5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2,648.7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8,595.2</w:t>
            </w:r>
          </w:p>
        </w:tc>
        <w:tc>
          <w:tcPr>
            <w:tcW w:w="0" w:type="dxa"/>
            <w:vAlign w:val="bottom"/>
          </w:tcPr>
          <w:p>
            <w:pPr>
              <w:spacing w:after="0"/>
              <w:rPr>
                <w:sz w:val="1"/>
                <w:szCs w:val="1"/>
                <w:color w:val="auto"/>
              </w:rPr>
            </w:pPr>
          </w:p>
        </w:tc>
      </w:tr>
      <w:tr>
        <w:trPr>
          <w:trHeight w:val="244"/>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6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787.8</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1,264.3</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2,052.1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2,097.0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1,724.2</w:t>
            </w:r>
          </w:p>
        </w:tc>
        <w:tc>
          <w:tcPr>
            <w:tcW w:w="0" w:type="dxa"/>
            <w:vAlign w:val="bottom"/>
          </w:tcPr>
          <w:p>
            <w:pPr>
              <w:spacing w:after="0"/>
              <w:rPr>
                <w:sz w:val="1"/>
                <w:szCs w:val="1"/>
                <w:color w:val="auto"/>
              </w:rPr>
            </w:pPr>
          </w:p>
        </w:tc>
      </w:tr>
      <w:tr>
        <w:trPr>
          <w:trHeight w:val="242"/>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481.6</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485.2</w:t>
            </w:r>
          </w:p>
        </w:tc>
        <w:tc>
          <w:tcPr>
            <w:tcW w:w="0" w:type="dxa"/>
            <w:vAlign w:val="bottom"/>
          </w:tcPr>
          <w:p>
            <w:pPr>
              <w:spacing w:after="0"/>
              <w:rPr>
                <w:sz w:val="1"/>
                <w:szCs w:val="1"/>
                <w:color w:val="auto"/>
              </w:rPr>
            </w:pPr>
          </w:p>
        </w:tc>
      </w:tr>
      <w:tr>
        <w:trPr>
          <w:trHeight w:val="190"/>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216.3</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8"/>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60" w:type="dxa"/>
            <w:vAlign w:val="bottom"/>
            <w:tcBorders>
              <w:bottom w:val="single" w:sz="8" w:color="auto"/>
            </w:tcBorders>
            <w:shd w:val="clear" w:color="auto" w:fill="DDDDDD"/>
          </w:tcPr>
          <w:p>
            <w:pPr>
              <w:spacing w:after="0"/>
              <w:rPr>
                <w:sz w:val="16"/>
                <w:szCs w:val="16"/>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97.9</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40" w:type="dxa"/>
            <w:vAlign w:val="bottom"/>
            <w:tcBorders>
              <w:bottom w:val="single" w:sz="8" w:color="auto"/>
            </w:tcBorders>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7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97.9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3"/>
        </w:trPr>
        <w:tc>
          <w:tcPr>
            <w:tcW w:w="2400" w:type="dxa"/>
            <w:vAlign w:val="bottom"/>
            <w:gridSpan w:val="2"/>
          </w:tcPr>
          <w:p>
            <w:pPr>
              <w:ind w:left="220"/>
              <w:spacing w:after="0"/>
              <w:rPr>
                <w:sz w:val="20"/>
                <w:szCs w:val="20"/>
                <w:color w:val="auto"/>
              </w:rPr>
            </w:pPr>
            <w:r>
              <w:rPr>
                <w:rFonts w:ascii="Arial" w:cs="Arial" w:eastAsia="Arial" w:hAnsi="Arial"/>
                <w:sz w:val="14"/>
                <w:szCs w:val="14"/>
                <w:color w:val="auto"/>
              </w:rPr>
              <w:t>Subtotal: Biosimilars</w:t>
            </w:r>
          </w:p>
        </w:tc>
        <w:tc>
          <w:tcPr>
            <w:tcW w:w="160" w:type="dxa"/>
            <w:vAlign w:val="bottom"/>
            <w:shd w:val="clear" w:color="auto" w:fill="DDDDDD"/>
          </w:tcPr>
          <w:p>
            <w:pPr>
              <w:spacing w:after="0"/>
              <w:rPr>
                <w:sz w:val="15"/>
                <w:szCs w:val="15"/>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795.8</w:t>
            </w: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795.8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738.3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545.1</w:t>
            </w:r>
          </w:p>
        </w:tc>
        <w:tc>
          <w:tcPr>
            <w:tcW w:w="0" w:type="dxa"/>
            <w:vAlign w:val="bottom"/>
          </w:tcPr>
          <w:p>
            <w:pPr>
              <w:spacing w:after="0"/>
              <w:rPr>
                <w:sz w:val="1"/>
                <w:szCs w:val="1"/>
                <w:color w:val="auto"/>
              </w:rPr>
            </w:pPr>
          </w:p>
        </w:tc>
      </w:tr>
      <w:tr>
        <w:trPr>
          <w:trHeight w:val="244"/>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400" w:type="dxa"/>
            <w:vAlign w:val="bottom"/>
            <w:gridSpan w:val="2"/>
          </w:tcPr>
          <w:p>
            <w:pPr>
              <w:ind w:left="140"/>
              <w:spacing w:after="0"/>
              <w:rPr>
                <w:sz w:val="20"/>
                <w:szCs w:val="20"/>
                <w:color w:val="auto"/>
              </w:rPr>
            </w:pPr>
            <w:r>
              <w:rPr>
                <w:rFonts w:ascii="Arial" w:cs="Arial" w:eastAsia="Arial" w:hAnsi="Arial"/>
                <w:sz w:val="14"/>
                <w:szCs w:val="14"/>
                <w:color w:val="auto"/>
              </w:rPr>
              <w:t>FUMADERM</w:t>
            </w:r>
          </w:p>
        </w:tc>
        <w:tc>
          <w:tcPr>
            <w:tcW w:w="160" w:type="dxa"/>
            <w:vAlign w:val="bottom"/>
            <w:tcBorders>
              <w:bottom w:val="single" w:sz="8" w:color="DDDDDD"/>
            </w:tcBorders>
            <w:shd w:val="clear" w:color="auto" w:fill="DDDDDD"/>
          </w:tcPr>
          <w:p>
            <w:pPr>
              <w:spacing w:after="0"/>
              <w:rPr>
                <w:sz w:val="21"/>
                <w:szCs w:val="21"/>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12.2</w:t>
            </w:r>
          </w:p>
        </w:tc>
        <w:tc>
          <w:tcPr>
            <w:tcW w:w="4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DDDDDD"/>
            </w:tcBorders>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spacing w:after="0"/>
              <w:rPr>
                <w:sz w:val="21"/>
                <w:szCs w:val="21"/>
                <w:color w:val="auto"/>
              </w:rPr>
            </w:pPr>
          </w:p>
        </w:tc>
        <w:tc>
          <w:tcPr>
            <w:tcW w:w="74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2"/>
        </w:trPr>
        <w:tc>
          <w:tcPr>
            <w:tcW w:w="2400" w:type="dxa"/>
            <w:vAlign w:val="bottom"/>
            <w:gridSpan w:val="2"/>
          </w:tcPr>
          <w:p>
            <w:pPr>
              <w:ind w:left="220"/>
              <w:spacing w:after="0"/>
              <w:rPr>
                <w:sz w:val="20"/>
                <w:szCs w:val="20"/>
                <w:color w:val="auto"/>
              </w:rPr>
            </w:pPr>
            <w:r>
              <w:rPr>
                <w:rFonts w:ascii="Arial" w:cs="Arial" w:eastAsia="Arial" w:hAnsi="Arial"/>
                <w:sz w:val="14"/>
                <w:szCs w:val="14"/>
                <w:color w:val="auto"/>
              </w:rPr>
              <w:t>Total product revenues</w:t>
            </w: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6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5,900.1</w:t>
            </w:r>
          </w:p>
        </w:tc>
        <w:tc>
          <w:tcPr>
            <w:tcW w:w="20" w:type="dxa"/>
            <w:vAlign w:val="bottom"/>
            <w:tcBorders>
              <w:top w:val="single" w:sz="8" w:color="auto"/>
              <w:bottom w:val="single" w:sz="8" w:color="auto"/>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6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4,792.1</w:t>
            </w:r>
          </w:p>
        </w:tc>
        <w:tc>
          <w:tcPr>
            <w:tcW w:w="40" w:type="dxa"/>
            <w:vAlign w:val="bottom"/>
            <w:tcBorders>
              <w:top w:val="single" w:sz="8" w:color="auto"/>
              <w:bottom w:val="single" w:sz="8" w:color="auto"/>
            </w:tcBorders>
            <w:shd w:val="clear" w:color="auto" w:fill="DDDDDD"/>
          </w:tcPr>
          <w:p>
            <w:pPr>
              <w:spacing w:after="0"/>
              <w:rPr>
                <w:sz w:val="17"/>
                <w:szCs w:val="17"/>
                <w:color w:val="auto"/>
              </w:rPr>
            </w:pP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200" w:type="dxa"/>
            <w:vAlign w:val="bottom"/>
            <w:tcBorders>
              <w:top w:val="single" w:sz="8" w:color="auto"/>
              <w:bottom w:val="single" w:sz="8" w:color="auto"/>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2573BA"/>
              </w:rPr>
              <w:t>$</w:t>
            </w:r>
          </w:p>
        </w:tc>
        <w:tc>
          <w:tcPr>
            <w:tcW w:w="7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10,692.2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4,666.0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11,379.8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6,800.5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4,086.3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10,886.8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68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bottom w:val="single" w:sz="8" w:color="auto"/>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7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 VUMERITY became commercially available in the U.S. in November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157"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recognized revenues from two wholesalers accounting for 30.5% and 15.3% of gross product revenues in 2020, 30.0% and 17.2% of gross product revenues in 2019 and 32.0% and 18.4% of gross product revenues in 2018, respectively.</w:t>
      </w:r>
    </w:p>
    <w:p>
      <w:pPr>
        <w:spacing w:after="0" w:line="144" w:lineRule="exact"/>
        <w:rPr>
          <w:sz w:val="20"/>
          <w:szCs w:val="20"/>
          <w:color w:val="auto"/>
        </w:rPr>
      </w:pPr>
    </w:p>
    <w:p>
      <w:pPr>
        <w:ind w:right="700" w:firstLine="445"/>
        <w:spacing w:after="0" w:line="261" w:lineRule="auto"/>
        <w:rPr>
          <w:sz w:val="20"/>
          <w:szCs w:val="20"/>
          <w:color w:val="auto"/>
        </w:rPr>
      </w:pPr>
      <w:r>
        <w:rPr>
          <w:rFonts w:ascii="Arial" w:cs="Arial" w:eastAsia="Arial" w:hAnsi="Arial"/>
          <w:sz w:val="18"/>
          <w:szCs w:val="18"/>
          <w:color w:val="auto"/>
        </w:rPr>
        <w:t>As of December 31, 2020, two wholesale distributors individually accounted for approximately 21.1% and 8.5% of net accounts receivable associated with our product sales, as compared to 24.1% and 13.9% as of December 31, 2019,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Beginning balance</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131.1</w:t>
            </w:r>
          </w:p>
        </w:tc>
        <w:tc>
          <w:tcPr>
            <w:tcW w:w="28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1,027.3</w:t>
            </w:r>
          </w:p>
        </w:tc>
        <w:tc>
          <w:tcPr>
            <w:tcW w:w="1040" w:type="dxa"/>
            <w:vAlign w:val="bottom"/>
            <w:gridSpan w:val="2"/>
            <w:shd w:val="clear" w:color="auto" w:fill="DDDDDD"/>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40.5</w:t>
            </w:r>
          </w:p>
        </w:tc>
        <w:tc>
          <w:tcPr>
            <w:tcW w:w="120" w:type="dxa"/>
            <w:vAlign w:val="bottom"/>
            <w:shd w:val="clear" w:color="auto" w:fill="DDDDDD"/>
          </w:tcPr>
          <w:p>
            <w:pPr>
              <w:spacing w:after="0"/>
              <w:rPr>
                <w:sz w:val="15"/>
                <w:szCs w:val="15"/>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1,198.9</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774.7</w:t>
            </w: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2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3,308.8</w:t>
            </w:r>
          </w:p>
        </w:tc>
        <w:tc>
          <w:tcPr>
            <w:tcW w:w="10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19.0</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4,102.5</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w:t>
            </w: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(54.0)</w:t>
            </w:r>
          </w:p>
        </w:tc>
        <w:tc>
          <w:tcPr>
            <w:tcW w:w="10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(53.7)</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Payments/returns relating to sales in current year</w:t>
            </w:r>
          </w:p>
        </w:tc>
        <w:tc>
          <w:tcPr>
            <w:tcW w:w="22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(635.1)</w:t>
            </w: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(2,426.1)</w:t>
            </w:r>
          </w:p>
        </w:tc>
        <w:tc>
          <w:tcPr>
            <w:tcW w:w="10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52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2573BA"/>
              </w:rPr>
              <w:t>—</w:t>
            </w:r>
          </w:p>
        </w:tc>
        <w:tc>
          <w:tcPr>
            <w:tcW w:w="30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(3,061.2)</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Payments/returns relating to sales in prior years</w:t>
            </w:r>
          </w:p>
        </w:tc>
        <w:tc>
          <w:tcPr>
            <w:tcW w:w="220" w:type="dxa"/>
            <w:vAlign w:val="bottom"/>
            <w:tcBorders>
              <w:bottom w:val="single" w:sz="8" w:color="auto"/>
            </w:tcBorders>
            <w:shd w:val="clear" w:color="auto" w:fill="DDDDDD"/>
          </w:tcPr>
          <w:p>
            <w:pPr>
              <w:spacing w:after="0"/>
              <w:rPr>
                <w:sz w:val="16"/>
                <w:szCs w:val="16"/>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(128.3)</w:t>
            </w:r>
          </w:p>
        </w:tc>
        <w:tc>
          <w:tcPr>
            <w:tcW w:w="10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(763.0)</w:t>
            </w:r>
          </w:p>
        </w:tc>
        <w:tc>
          <w:tcPr>
            <w:tcW w:w="100" w:type="dxa"/>
            <w:vAlign w:val="bottom"/>
            <w:tcBorders>
              <w:bottom w:val="single" w:sz="8" w:color="DDDDDD"/>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spacing w:after="0"/>
              <w:rPr>
                <w:sz w:val="16"/>
                <w:szCs w:val="16"/>
                <w:color w:val="auto"/>
              </w:rPr>
            </w:pPr>
          </w:p>
        </w:tc>
        <w:tc>
          <w:tcPr>
            <w:tcW w:w="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w w:val="98"/>
              </w:rPr>
              <w:t>(19.2)</w:t>
            </w:r>
          </w:p>
        </w:tc>
        <w:tc>
          <w:tcPr>
            <w:tcW w:w="120" w:type="dxa"/>
            <w:vAlign w:val="bottom"/>
            <w:tcBorders>
              <w:bottom w:val="single" w:sz="8" w:color="DDDDDD"/>
            </w:tcBorders>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(910.5)</w:t>
            </w:r>
          </w:p>
        </w:tc>
        <w:tc>
          <w:tcPr>
            <w:tcW w:w="0" w:type="dxa"/>
            <w:vAlign w:val="bottom"/>
          </w:tcPr>
          <w:p>
            <w:pPr>
              <w:spacing w:after="0"/>
              <w:rPr>
                <w:sz w:val="1"/>
                <w:szCs w:val="1"/>
                <w:color w:val="auto"/>
              </w:rPr>
            </w:pPr>
          </w:p>
        </w:tc>
      </w:tr>
      <w:tr>
        <w:trPr>
          <w:trHeight w:val="20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Ending balance</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141.4</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1,093.0</w:t>
            </w:r>
          </w:p>
        </w:tc>
        <w:tc>
          <w:tcPr>
            <w:tcW w:w="1040" w:type="dxa"/>
            <w:vAlign w:val="bottom"/>
            <w:gridSpan w:val="2"/>
            <w:shd w:val="clear" w:color="auto" w:fill="DDDDDD"/>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41.6</w:t>
            </w:r>
          </w:p>
        </w:tc>
        <w:tc>
          <w:tcPr>
            <w:tcW w:w="120" w:type="dxa"/>
            <w:vAlign w:val="bottom"/>
            <w:shd w:val="clear" w:color="auto" w:fill="DDDDDD"/>
          </w:tcPr>
          <w:p>
            <w:pPr>
              <w:spacing w:after="0"/>
              <w:rPr>
                <w:sz w:val="17"/>
                <w:szCs w:val="17"/>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1,276.0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Discounts</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Contractual</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Returns</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Adjustments</w:t>
            </w:r>
          </w:p>
        </w:tc>
        <w:tc>
          <w:tcPr>
            <w:tcW w:w="14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201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Payments/returns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Payments/returns relating to sales in prior years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888.8</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1,051.3</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666.2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3,011.5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3,698.6</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(2,778.6)</w:t>
            </w:r>
          </w:p>
        </w:tc>
      </w:tr>
      <w:tr>
        <w:trPr>
          <w:trHeight w:val="188"/>
        </w:trPr>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(724.1)</w:t>
            </w:r>
          </w:p>
        </w:tc>
      </w:tr>
      <w:tr>
        <w:trPr>
          <w:trHeight w:val="183"/>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1,027.3</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1,198.9</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ectPr>
          <w:pgSz w:w="11900" w:h="16838" w:orient="portrait"/>
          <w:cols w:equalWidth="0" w:num="2">
            <w:col w:w="4760" w:space="720"/>
            <w:col w:w="5760"/>
          </w:cols>
          <w:pgMar w:left="320" w:top="144" w:right="33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Discounts</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Contractual</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Returns</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Adjustments</w:t>
            </w:r>
          </w:p>
        </w:tc>
        <w:tc>
          <w:tcPr>
            <w:tcW w:w="14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2011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Payments/returns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Payments/returns relating to sales in prior years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606.0</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761.6</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2,686.7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3,389.1</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(1,887.6)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(2,440.4)</w:t>
            </w:r>
          </w:p>
        </w:tc>
      </w:tr>
      <w:tr>
        <w:trPr>
          <w:trHeight w:val="188"/>
        </w:trPr>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(506.3)</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w:t>
            </w:r>
          </w:p>
        </w:tc>
      </w:tr>
      <w:tr>
        <w:trPr>
          <w:trHeight w:val="183"/>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888.8</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1,051.3</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4760" w:space="720"/>
            <w:col w:w="5760"/>
          </w:cols>
          <w:pgMar w:left="320" w:top="144" w:right="33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The total reserves above, which are included in our consolidated balance sheets,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r>
      <w:tr>
        <w:trPr>
          <w:trHeight w:val="18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48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195.4</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197.8</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expenses and other</w:t>
            </w:r>
          </w:p>
        </w:tc>
        <w:tc>
          <w:tcPr>
            <w:tcW w:w="480" w:type="dxa"/>
            <w:vAlign w:val="bottom"/>
            <w:tcBorders>
              <w:bottom w:val="single" w:sz="8" w:color="auto"/>
            </w:tcBorders>
            <w:shd w:val="clear" w:color="auto" w:fill="DDDDDD"/>
          </w:tcPr>
          <w:p>
            <w:pPr>
              <w:spacing w:after="0"/>
              <w:rPr>
                <w:sz w:val="16"/>
                <w:szCs w:val="16"/>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1,080.6</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1,001.1</w:t>
            </w:r>
          </w:p>
        </w:tc>
      </w:tr>
      <w:tr>
        <w:trPr>
          <w:trHeight w:val="203"/>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 revenue-related reserves</w:t>
            </w:r>
          </w:p>
        </w:tc>
        <w:tc>
          <w:tcPr>
            <w:tcW w:w="48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1,276.0</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1,198.9</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472B9"/>
        </w:rPr>
        <w:t>Revenues from Anti-CD20 Therapeutic Programs</w:t>
      </w:r>
    </w:p>
    <w:p>
      <w:pPr>
        <w:spacing w:after="0" w:line="122"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Revenues from anti-CD20 therapeutic programs are summarized in the table below. For purposes of this footnote, we refer to RITUXAN and RITUXAN HYCELA collectively as RITUXAN.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320" w:type="dxa"/>
            <w:vAlign w:val="bottom"/>
            <w:tcBorders>
              <w:bottom w:val="single" w:sz="8" w:color="auto"/>
            </w:tcBorders>
            <w:shd w:val="clear" w:color="auto" w:fill="DDDDDD"/>
          </w:tcPr>
          <w:p>
            <w:pPr>
              <w:jc w:val="right"/>
              <w:ind w:right="62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and GAZYVA</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1,080.2</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1,542.4</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1,431.9</w:t>
            </w: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Other revenues from anti-CD20 therapeutic programs</w:t>
            </w:r>
          </w:p>
        </w:tc>
        <w:tc>
          <w:tcPr>
            <w:tcW w:w="42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897.6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548.3</w:t>
            </w:r>
          </w:p>
        </w:tc>
      </w:tr>
      <w:tr>
        <w:trPr>
          <w:trHeight w:val="203"/>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Total revenues from anti-CD20 therapeutic programs</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1,977.8</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2,290.4</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1,980.2</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 xml:space="preserve">Approximately 14.7%, 15.9% and 14.7% of our total revenues in 2020, 2019 and 2018, respectively, were derived from our collaboration arrangements with Genentech. For additional information on our collaboration arrangements with Genentech,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472B9"/>
        </w:rPr>
        <w:t>Other Revenues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revenues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Revenues from collaborative and other relationships:</w:t>
            </w:r>
          </w:p>
        </w:tc>
        <w:tc>
          <w:tcPr>
            <w:tcW w:w="38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08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Revenues earned under our technical development agreement, manufacturing service</w:t>
            </w:r>
          </w:p>
        </w:tc>
        <w:tc>
          <w:tcPr>
            <w:tcW w:w="380" w:type="dxa"/>
            <w:vAlign w:val="bottom"/>
            <w:vMerge w:val="restart"/>
            <w:shd w:val="clear" w:color="auto" w:fill="DDDDDD"/>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20.9</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Pr>
          <w:p>
            <w:pPr>
              <w:spacing w:after="0"/>
              <w:rPr>
                <w:sz w:val="13"/>
                <w:szCs w:val="13"/>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71"/>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agreements and royalty revenues on biosimilar products with Samsung Bioepis</w:t>
            </w:r>
          </w:p>
        </w:tc>
        <w:tc>
          <w:tcPr>
            <w:tcW w:w="380" w:type="dxa"/>
            <w:vAlign w:val="bottom"/>
            <w:vMerge w:val="continue"/>
            <w:shd w:val="clear" w:color="auto" w:fill="DDDDDD"/>
          </w:tcPr>
          <w:p>
            <w:pPr>
              <w:spacing w:after="0"/>
              <w:rPr>
                <w:sz w:val="14"/>
                <w:szCs w:val="14"/>
                <w:color w:val="auto"/>
              </w:rPr>
            </w:pPr>
          </w:p>
        </w:tc>
        <w:tc>
          <w:tcPr>
            <w:tcW w:w="1260" w:type="dxa"/>
            <w:vAlign w:val="bottom"/>
            <w:vMerge w:val="continue"/>
            <w:shd w:val="clear" w:color="auto" w:fill="DDDDDD"/>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Other revenues from collaborative and other relationships</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revenues:</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Royalty</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33.9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Other corporate</w:t>
            </w:r>
          </w:p>
        </w:tc>
        <w:tc>
          <w:tcPr>
            <w:tcW w:w="38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719.1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584.5</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459.4</w:t>
            </w:r>
          </w:p>
        </w:tc>
        <w:tc>
          <w:tcPr>
            <w:tcW w:w="0" w:type="dxa"/>
            <w:vAlign w:val="bottom"/>
          </w:tcPr>
          <w:p>
            <w:pPr>
              <w:spacing w:after="0"/>
              <w:rPr>
                <w:sz w:val="1"/>
                <w:szCs w:val="1"/>
                <w:color w:val="auto"/>
              </w:rPr>
            </w:pPr>
          </w:p>
        </w:tc>
      </w:tr>
      <w:tr>
        <w:trPr>
          <w:trHeight w:val="203"/>
        </w:trPr>
        <w:tc>
          <w:tcPr>
            <w:tcW w:w="6080" w:type="dxa"/>
            <w:vAlign w:val="bottom"/>
            <w:gridSpan w:val="2"/>
          </w:tcPr>
          <w:p>
            <w:pPr>
              <w:ind w:left="360"/>
              <w:spacing w:after="0"/>
              <w:rPr>
                <w:sz w:val="20"/>
                <w:szCs w:val="20"/>
                <w:color w:val="auto"/>
              </w:rPr>
            </w:pPr>
            <w:r>
              <w:rPr>
                <w:rFonts w:ascii="Arial" w:cs="Arial" w:eastAsia="Arial" w:hAnsi="Arial"/>
                <w:sz w:val="14"/>
                <w:szCs w:val="14"/>
                <w:color w:val="auto"/>
              </w:rPr>
              <w:t>Total other revenues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774.6</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707.7</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585.9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80" w:firstLine="445"/>
        <w:spacing w:after="0" w:line="254" w:lineRule="auto"/>
        <w:rPr>
          <w:sz w:val="20"/>
          <w:szCs w:val="20"/>
          <w:color w:val="auto"/>
        </w:rPr>
      </w:pPr>
      <w:r>
        <w:rPr>
          <w:rFonts w:ascii="Arial" w:cs="Arial" w:eastAsia="Arial" w:hAnsi="Arial"/>
          <w:sz w:val="18"/>
          <w:szCs w:val="18"/>
          <w:color w:val="auto"/>
        </w:rPr>
        <w:t>Other corporate revenues primarily reflect amounts earned under contract manufacturing agreements with our strategic customers, including Bioverativ Inc. (Bioverativ). During the years ended December 31, 2020, 2019 and 2018, we recognized $ 48.6 million, $383.2 million and $206.7 million, respectively, in revenues under the manufacturing and supply agreement with Bioverativ entered into in connection with the spin-off of our hemophilia business.</w:t>
      </w:r>
    </w:p>
    <w:p>
      <w:pPr>
        <w:spacing w:after="0" w:line="150"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During the third quarter of 2019, we amended our agreement with a contract manufacturing customer pursuant to which we licensed certain of our manufacturing-related intellectual property to the customer. In the second quarter of 2020, the customer received regulatory approval for its product that is being manufactured using certain of our manufacturing-related intellectual property. As a result we are entitled to $500.0 million in a series of three payments. The first payment became due upon a regulatory approval of such product and was received during the second quarter of 2020. Subsequent payments are due on the first and second anniversaries of the regulatory approval.</w:t>
      </w:r>
    </w:p>
    <w:p>
      <w:pPr>
        <w:spacing w:after="0" w:line="15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Other corporate revenues for the year ended December 31, 2020, reflect $346.2 million related to the delivery of the license for certain of our manufacturing-related intellectual property under the amended agreement discussed above and the performance of manufacturing product supply services for such customer. We have allocated the remaining $153.8 million of the $500.0 million transaction price to the performance of manufacturing product supply services for the customer, which we expect to perform through 2026. The value allocated to the manufacturing services was based on expected demand for supply and the fair value of comparable manufacturing and development services.</w:t>
      </w:r>
    </w:p>
    <w:p>
      <w:pPr>
        <w:spacing w:after="0" w:line="136" w:lineRule="exact"/>
        <w:rPr>
          <w:sz w:val="20"/>
          <w:szCs w:val="20"/>
          <w:color w:val="auto"/>
        </w:rPr>
      </w:pPr>
    </w:p>
    <w:p>
      <w:pPr>
        <w:ind w:right="460" w:firstLine="40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20" w:type="dxa"/>
            <w:vAlign w:val="bottom"/>
          </w:tcPr>
          <w:p>
            <w:pPr>
              <w:spacing w:after="0"/>
              <w:rPr>
                <w:sz w:val="20"/>
                <w:szCs w:val="20"/>
                <w:color w:val="auto"/>
              </w:rPr>
            </w:pPr>
            <w:r>
              <w:rPr>
                <w:rFonts w:ascii="Arial" w:cs="Arial" w:eastAsia="Arial" w:hAnsi="Arial"/>
                <w:sz w:val="22"/>
                <w:szCs w:val="22"/>
                <w:b w:val="1"/>
                <w:bCs w:val="1"/>
                <w:color w:val="578196"/>
              </w:rPr>
              <w:t>5.</w:t>
            </w:r>
          </w:p>
        </w:tc>
        <w:tc>
          <w:tcPr>
            <w:tcW w:w="6860" w:type="dxa"/>
            <w:vAlign w:val="bottom"/>
            <w:gridSpan w:val="2"/>
          </w:tcPr>
          <w:p>
            <w:pPr>
              <w:ind w:left="340"/>
              <w:spacing w:after="0"/>
              <w:rPr>
                <w:sz w:val="20"/>
                <w:szCs w:val="20"/>
                <w:color w:val="auto"/>
              </w:rPr>
            </w:pPr>
            <w:r>
              <w:rPr>
                <w:rFonts w:ascii="Arial" w:cs="Arial" w:eastAsia="Arial" w:hAnsi="Arial"/>
                <w:sz w:val="22"/>
                <w:szCs w:val="22"/>
                <w:b w:val="1"/>
                <w:bCs w:val="1"/>
                <w:color w:val="578196"/>
              </w:rPr>
              <w:t>Inventory</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0"/>
        </w:trPr>
        <w:tc>
          <w:tcPr>
            <w:tcW w:w="320" w:type="dxa"/>
            <w:vAlign w:val="bottom"/>
          </w:tcPr>
          <w:p>
            <w:pPr>
              <w:spacing w:after="0"/>
              <w:rPr>
                <w:sz w:val="24"/>
                <w:szCs w:val="24"/>
                <w:color w:val="auto"/>
              </w:rPr>
            </w:pPr>
          </w:p>
        </w:tc>
        <w:tc>
          <w:tcPr>
            <w:tcW w:w="6860" w:type="dxa"/>
            <w:vAlign w:val="bottom"/>
            <w:gridSpan w:val="2"/>
          </w:tcPr>
          <w:p>
            <w:pPr>
              <w:ind w:left="140"/>
              <w:spacing w:after="0"/>
              <w:rPr>
                <w:sz w:val="20"/>
                <w:szCs w:val="20"/>
                <w:color w:val="auto"/>
              </w:rPr>
            </w:pPr>
            <w:r>
              <w:rPr>
                <w:rFonts w:ascii="Arial" w:cs="Arial" w:eastAsia="Arial" w:hAnsi="Arial"/>
                <w:sz w:val="18"/>
                <w:szCs w:val="18"/>
                <w:color w:val="auto"/>
              </w:rPr>
              <w:t>The components of inventory are summarized as follows: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24"/>
                <w:szCs w:val="24"/>
                <w:color w:val="auto"/>
              </w:rPr>
            </w:pPr>
          </w:p>
        </w:tc>
      </w:tr>
      <w:tr>
        <w:trPr>
          <w:trHeight w:val="183"/>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r>
      <w:tr>
        <w:trPr>
          <w:trHeight w:val="183"/>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Raw materials</w:t>
            </w:r>
          </w:p>
        </w:tc>
        <w:tc>
          <w:tcPr>
            <w:tcW w:w="48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314.9</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169.7</w:t>
            </w:r>
          </w:p>
        </w:tc>
      </w:tr>
      <w:tr>
        <w:trPr>
          <w:trHeight w:val="190"/>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Work in process</w:t>
            </w:r>
          </w:p>
        </w:tc>
        <w:tc>
          <w:tcPr>
            <w:tcW w:w="48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544.5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460.0</w:t>
            </w:r>
          </w:p>
        </w:tc>
      </w:tr>
      <w:tr>
        <w:trPr>
          <w:trHeight w:val="188"/>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Finished goods</w:t>
            </w:r>
          </w:p>
        </w:tc>
        <w:tc>
          <w:tcPr>
            <w:tcW w:w="480" w:type="dxa"/>
            <w:vAlign w:val="bottom"/>
            <w:tcBorders>
              <w:bottom w:val="single" w:sz="8" w:color="auto"/>
            </w:tcBorders>
            <w:shd w:val="clear" w:color="auto" w:fill="DDDDDD"/>
          </w:tcPr>
          <w:p>
            <w:pPr>
              <w:spacing w:after="0"/>
              <w:rPr>
                <w:sz w:val="16"/>
                <w:szCs w:val="16"/>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209.2</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w:t>
            </w:r>
          </w:p>
        </w:tc>
      </w:tr>
      <w:tr>
        <w:trPr>
          <w:trHeight w:val="203"/>
        </w:trPr>
        <w:tc>
          <w:tcPr>
            <w:tcW w:w="7180" w:type="dxa"/>
            <w:vAlign w:val="bottom"/>
            <w:gridSpan w:val="3"/>
          </w:tcPr>
          <w:p>
            <w:pPr>
              <w:ind w:left="140"/>
              <w:spacing w:after="0"/>
              <w:rPr>
                <w:sz w:val="20"/>
                <w:szCs w:val="20"/>
                <w:color w:val="auto"/>
              </w:rPr>
            </w:pPr>
            <w:r>
              <w:rPr>
                <w:rFonts w:ascii="Arial" w:cs="Arial" w:eastAsia="Arial" w:hAnsi="Arial"/>
                <w:sz w:val="14"/>
                <w:szCs w:val="14"/>
                <w:color w:val="auto"/>
              </w:rPr>
              <w:t>Total inventory</w:t>
            </w:r>
          </w:p>
        </w:tc>
        <w:tc>
          <w:tcPr>
            <w:tcW w:w="48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1,068.6</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804.2</w:t>
            </w:r>
          </w:p>
        </w:tc>
      </w:tr>
      <w:tr>
        <w:trPr>
          <w:trHeight w:val="20"/>
        </w:trPr>
        <w:tc>
          <w:tcPr>
            <w:tcW w:w="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Inventory amounts written down as a result of excess, obsolescence, unmarketability or other reasons are charged to cost of sales, and totaled $26.6 million, $52.2 million and $41.9 million for the years ended December 31, 2020, 2019 and 2018,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472B9"/>
        </w:rPr>
        <w:t>Divestiture of Hillerød, Denmark Manufacturing Operations</w:t>
      </w:r>
    </w:p>
    <w:p>
      <w:pPr>
        <w:spacing w:after="0" w:line="122"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In August 2019 we completed the sale of all of the outstanding shares of our subsidiary that owned our biologics manufacturing operations in Hillerød, Denmark to FUJIFILM. This transaction included the sale of $14.0 million of work in process inventory.</w:t>
      </w:r>
    </w:p>
    <w:p>
      <w:pPr>
        <w:spacing w:after="0" w:line="144"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In addition, we sold to FUJIFILM approximately $41.8 million of raw materials that were remaining at the Hillerød facility on the closing date of this transaction. These materials were sold at cost, which approximates fair value.</w:t>
      </w:r>
    </w:p>
    <w:p>
      <w:pPr>
        <w:spacing w:after="0" w:line="126" w:lineRule="exact"/>
        <w:rPr>
          <w:sz w:val="20"/>
          <w:szCs w:val="20"/>
          <w:color w:val="auto"/>
        </w:rPr>
      </w:pPr>
    </w:p>
    <w:p>
      <w:pPr>
        <w:ind w:right="340" w:firstLine="445"/>
        <w:spacing w:after="0" w:line="282"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107"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22"/>
          <w:szCs w:val="22"/>
          <w:b w:val="1"/>
          <w:bCs w:val="1"/>
          <w:color w:val="578196"/>
        </w:rPr>
      </w:pPr>
      <w:r>
        <w:rPr>
          <w:rFonts w:ascii="Arial" w:cs="Arial" w:eastAsia="Arial" w:hAnsi="Arial"/>
          <w:sz w:val="22"/>
          <w:szCs w:val="22"/>
          <w:b w:val="1"/>
          <w:bCs w:val="1"/>
          <w:color w:val="578196"/>
        </w:rPr>
        <w:t>Intangible Assets and Goodwill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Intangible Assets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2520" w:type="dxa"/>
            <w:vAlign w:val="bottom"/>
            <w:tcBorders>
              <w:bottom w:val="single" w:sz="8" w:color="auto"/>
            </w:tcBorders>
            <w:gridSpan w:val="7"/>
            <w:shd w:val="clear" w:color="auto" w:fill="DDDDDD"/>
          </w:tcPr>
          <w:p>
            <w:pPr>
              <w:jc w:val="right"/>
              <w:ind w:right="68"/>
              <w:spacing w:after="0"/>
              <w:rPr>
                <w:sz w:val="20"/>
                <w:szCs w:val="20"/>
                <w:color w:val="auto"/>
              </w:rPr>
            </w:pPr>
            <w:r>
              <w:rPr>
                <w:rFonts w:ascii="Arial" w:cs="Arial" w:eastAsia="Arial" w:hAnsi="Arial"/>
                <w:sz w:val="14"/>
                <w:szCs w:val="14"/>
                <w:b w:val="1"/>
                <w:bCs w:val="1"/>
                <w:color w:val="2573BA"/>
              </w:rPr>
              <w:t>As of December 31, 2020</w:t>
            </w:r>
          </w:p>
        </w:tc>
        <w:tc>
          <w:tcPr>
            <w:tcW w:w="78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rPr>
              <w:t>As of December 31, 2019</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Estimated Life</w:t>
            </w:r>
          </w:p>
        </w:tc>
        <w:tc>
          <w:tcPr>
            <w:tcW w:w="12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7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vMerge w:val="continue"/>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color w:val="auto"/>
              </w:rPr>
              <w:t>Completed technology</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4-28 years</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7,394.3</w:t>
            </w:r>
          </w:p>
        </w:tc>
        <w:tc>
          <w:tcPr>
            <w:tcW w:w="26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(5,136.5)</w:t>
            </w:r>
          </w:p>
        </w:tc>
        <w:tc>
          <w:tcPr>
            <w:tcW w:w="120" w:type="dxa"/>
            <w:vAlign w:val="bottom"/>
            <w:shd w:val="clear" w:color="auto" w:fill="DDDDDD"/>
          </w:tcPr>
          <w:p>
            <w:pPr>
              <w:spacing w:after="0"/>
              <w:rPr>
                <w:sz w:val="15"/>
                <w:szCs w:val="15"/>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2,257.8</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7,379.3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(4,881.4)</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2,497.9</w:t>
            </w:r>
          </w:p>
        </w:tc>
        <w:tc>
          <w:tcPr>
            <w:tcW w:w="0" w:type="dxa"/>
            <w:vAlign w:val="bottom"/>
          </w:tcPr>
          <w:p>
            <w:pPr>
              <w:spacing w:after="0"/>
              <w:rPr>
                <w:sz w:val="1"/>
                <w:szCs w:val="1"/>
                <w:color w:val="auto"/>
              </w:rPr>
            </w:pPr>
          </w:p>
        </w:tc>
      </w:tr>
      <w:tr>
        <w:trPr>
          <w:trHeight w:val="153"/>
        </w:trPr>
        <w:tc>
          <w:tcPr>
            <w:tcW w:w="2100" w:type="dxa"/>
            <w:vAlign w:val="bottom"/>
          </w:tcPr>
          <w:p>
            <w:pPr>
              <w:ind w:left="20"/>
              <w:spacing w:after="0" w:line="153" w:lineRule="exact"/>
              <w:rPr>
                <w:sz w:val="20"/>
                <w:szCs w:val="20"/>
                <w:color w:val="auto"/>
              </w:rPr>
            </w:pPr>
            <w:r>
              <w:rPr>
                <w:rFonts w:ascii="Arial" w:cs="Arial" w:eastAsia="Arial" w:hAnsi="Arial"/>
                <w:sz w:val="14"/>
                <w:szCs w:val="14"/>
                <w:color w:val="auto"/>
              </w:rPr>
              <w:t>In-process research and</w:t>
            </w:r>
          </w:p>
        </w:tc>
        <w:tc>
          <w:tcPr>
            <w:tcW w:w="20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Indefinite until</w:t>
            </w:r>
          </w:p>
        </w:tc>
        <w:tc>
          <w:tcPr>
            <w:tcW w:w="220" w:type="dxa"/>
            <w:vAlign w:val="bottom"/>
            <w:shd w:val="clear" w:color="auto" w:fill="DDDDDD"/>
          </w:tcPr>
          <w:p>
            <w:pPr>
              <w:spacing w:after="0"/>
              <w:rPr>
                <w:sz w:val="13"/>
                <w:szCs w:val="13"/>
                <w:color w:val="auto"/>
              </w:rPr>
            </w:pPr>
          </w:p>
        </w:tc>
        <w:tc>
          <w:tcPr>
            <w:tcW w:w="7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762.5</w:t>
            </w:r>
          </w:p>
        </w:tc>
        <w:tc>
          <w:tcPr>
            <w:tcW w:w="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180" w:type="dxa"/>
            <w:vAlign w:val="bottom"/>
            <w:gridSpan w:val="2"/>
            <w:vMerge w:val="restart"/>
            <w:shd w:val="clear" w:color="auto" w:fill="DDDDDD"/>
          </w:tcPr>
          <w:p>
            <w:pPr>
              <w:ind w:left="860"/>
              <w:spacing w:after="0"/>
              <w:rPr>
                <w:sz w:val="20"/>
                <w:szCs w:val="20"/>
                <w:color w:val="auto"/>
              </w:rPr>
            </w:pPr>
            <w:r>
              <w:rPr>
                <w:rFonts w:ascii="Arial" w:cs="Arial" w:eastAsia="Arial" w:hAnsi="Arial"/>
                <w:sz w:val="14"/>
                <w:szCs w:val="14"/>
                <w:color w:val="2573BA"/>
              </w:rPr>
              <w:t>—</w:t>
            </w:r>
          </w:p>
        </w:tc>
        <w:tc>
          <w:tcPr>
            <w:tcW w:w="300" w:type="dxa"/>
            <w:vAlign w:val="bottom"/>
            <w:shd w:val="clear" w:color="auto" w:fill="DDDDDD"/>
          </w:tcPr>
          <w:p>
            <w:pPr>
              <w:spacing w:after="0"/>
              <w:rPr>
                <w:sz w:val="13"/>
                <w:szCs w:val="13"/>
                <w:color w:val="auto"/>
              </w:rPr>
            </w:pPr>
          </w:p>
        </w:tc>
        <w:tc>
          <w:tcPr>
            <w:tcW w:w="7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762.5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965.5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965.5</w:t>
            </w: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DDDDD"/>
          </w:tcPr>
          <w:p>
            <w:pPr>
              <w:spacing w:after="0"/>
              <w:rPr>
                <w:sz w:val="14"/>
                <w:szCs w:val="14"/>
                <w:color w:val="auto"/>
              </w:rPr>
            </w:pPr>
          </w:p>
        </w:tc>
        <w:tc>
          <w:tcPr>
            <w:tcW w:w="7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180" w:type="dxa"/>
            <w:vAlign w:val="bottom"/>
            <w:gridSpan w:val="2"/>
            <w:vMerge w:val="continue"/>
            <w:shd w:val="clear" w:color="auto" w:fill="DDDDDD"/>
          </w:tcPr>
          <w:p>
            <w:pPr>
              <w:spacing w:after="0"/>
              <w:rPr>
                <w:sz w:val="14"/>
                <w:szCs w:val="14"/>
                <w:color w:val="auto"/>
              </w:rPr>
            </w:pPr>
          </w:p>
        </w:tc>
        <w:tc>
          <w:tcPr>
            <w:tcW w:w="300" w:type="dxa"/>
            <w:vAlign w:val="bottom"/>
            <w:shd w:val="clear" w:color="auto" w:fill="DDDDDD"/>
          </w:tcPr>
          <w:p>
            <w:pPr>
              <w:spacing w:after="0"/>
              <w:rPr>
                <w:sz w:val="14"/>
                <w:szCs w:val="14"/>
                <w:color w:val="auto"/>
              </w:rPr>
            </w:pPr>
          </w:p>
        </w:tc>
        <w:tc>
          <w:tcPr>
            <w:tcW w:w="780" w:type="dxa"/>
            <w:vAlign w:val="bottom"/>
            <w:vMerge w:val="continue"/>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Trademarks and trade names</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64.0</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060" w:type="dxa"/>
            <w:vAlign w:val="bottom"/>
            <w:tcBorders>
              <w:bottom w:val="single" w:sz="8" w:color="auto"/>
            </w:tcBorders>
            <w:shd w:val="clear" w:color="auto" w:fill="DDDDDD"/>
          </w:tcPr>
          <w:p>
            <w:pPr>
              <w:ind w:left="860"/>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DDDDD"/>
            </w:tcBorders>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64.0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3"/>
        </w:trPr>
        <w:tc>
          <w:tcPr>
            <w:tcW w:w="2100" w:type="dxa"/>
            <w:vAlign w:val="bottom"/>
          </w:tcPr>
          <w:p>
            <w:pPr>
              <w:ind w:left="360"/>
              <w:spacing w:after="0"/>
              <w:rPr>
                <w:sz w:val="20"/>
                <w:szCs w:val="20"/>
                <w:color w:val="auto"/>
              </w:rPr>
            </w:pPr>
            <w:r>
              <w:rPr>
                <w:rFonts w:ascii="Arial" w:cs="Arial" w:eastAsia="Arial" w:hAnsi="Arial"/>
                <w:sz w:val="14"/>
                <w:szCs w:val="14"/>
                <w:color w:val="auto"/>
              </w:rPr>
              <w:t>Total intangible assets</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8,220.8</w:t>
            </w:r>
          </w:p>
        </w:tc>
        <w:tc>
          <w:tcPr>
            <w:tcW w:w="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(5,136.5)</w:t>
            </w:r>
          </w:p>
        </w:tc>
        <w:tc>
          <w:tcPr>
            <w:tcW w:w="120" w:type="dxa"/>
            <w:vAlign w:val="bottom"/>
            <w:shd w:val="clear" w:color="auto" w:fill="DDDDDD"/>
          </w:tcPr>
          <w:p>
            <w:pPr>
              <w:spacing w:after="0"/>
              <w:rPr>
                <w:sz w:val="17"/>
                <w:szCs w:val="17"/>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3,084.3</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8,408.8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(4,881.4)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3,527.4</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Amortization and Impairments</w:t>
      </w:r>
    </w:p>
    <w:p>
      <w:pPr>
        <w:spacing w:after="0" w:line="189"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Amortization and impairments of acquired intangible assets totaled $464.8 million, $489.9 million and $747.3 million for the years ended December 31, 2020, 2019 and 2018, respectively.</w:t>
      </w:r>
    </w:p>
    <w:p>
      <w:pPr>
        <w:spacing w:after="0" w:line="144"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Amortization of acquired intangible assets, excluding impairment charges, totaled $255.1 million, $274.0 million and $381.2 million for the years ended December 31, 2020, 2019 and 2018, respectively. The decrease in amortization of acquired intangible assets, excluding impairment charges, over the three years was primarily due to a lower rate of amortization for acquired intangible assets.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2020, amortization and impairment of acquired intangible assets reflects the impact of a</w:t>
      </w:r>
    </w:p>
    <w:p>
      <w:pPr>
        <w:spacing w:after="0" w:line="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$115.0 million impairment charge related to BIIB111, which was obtained as part of our acquisition of NST, a $75.4 million impairment charge related to BIIB054 (cinpanemab) and a $19.3 million impairment charge related to one of our other IPR&amp;D intangible assets.</w:t>
      </w:r>
    </w:p>
    <w:p>
      <w:pPr>
        <w:spacing w:after="0" w:line="144"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For the year ended December 31, 2019, amortization and impairments of acquired intangible assets reflects the impact of a $215.9 million impairment charge related to certain IPR&amp;D assets associated with the Phase 2b study of BG00011 (STX-100) for the potential treatment of idiopathic pulmonary fibrosis (IPF), which was discontinued in the third quarter of 2019.</w:t>
      </w:r>
    </w:p>
    <w:p>
      <w:pPr>
        <w:spacing w:after="0" w:line="14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For the year ended December 31, 2018, amortization and impairments of acquired intangible assets reflects the impact of a $189.3 million impairment charge related to certain IPR&amp;D assets associated with our vixotrigine program, as discussed below, and a $176.8 million impairment charge related to our U.S. license to Forward Pharma A/S' (Forward Pharma) intellectual property, including Forward Pharma's intellectual property related to TECFIDERA.</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Completed Technology</w:t>
      </w:r>
    </w:p>
    <w:p>
      <w:pPr>
        <w:spacing w:after="0" w:line="122"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Completed technology primarily relates to our acquisition of all remaining rights to TYSABRI from Elan as well as other amounts related to our other marketed products and programs acquired through business combinations.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2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 xml:space="preserve">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 We review amounts capitalized as acquired IPR&amp;D for impairment annually, as of October 31, and whenever events or changes in circumstances indicate to us that the carrying value of the assets might not be recoverable. The carrying value associated with our IPR&amp;D assets as of December 31, 2020 and 2019, relates to the various IPR&amp;D programs we acquired in connection with our acquisitions of NST and Convergence Pharmaceuticals Holdings Ltd. (Convergence). The majority of the balance relates to our acquisition of NST in June 2019 whereby we acquired IPR&amp;D programs with an estimated fair value of approximately $585.0 million as of December 31, 2020. For additional information on our acquisition of NST,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BIIB111</w:t>
      </w:r>
    </w:p>
    <w:p>
      <w:pPr>
        <w:spacing w:after="0" w:line="108"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During the fourth quarter of 2020 we began experiencing third-party manufacturing delays that may impact our timeline for a potential filing of a Biologics License Application (BLA) for BIIB111 for regulatory approval by up to one year. In addition, we determined that forecasted costs associated with advancing the BIIB111 program through Phase 3 development and potential commercialization will exceed our original estimates. We reassessed the fair value of the program based on these changes in assumptions and determined that the program was partially impaired. We recognized an impairment charge of $115.0 million during the fourth quarter of 2020, which resulted in a reduction of the IPR&amp;D asset from $480.0 million to $365.0 million.</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BIIB054</w:t>
      </w:r>
    </w:p>
    <w:p>
      <w:pPr>
        <w:spacing w:after="0" w:line="189" w:lineRule="exact"/>
        <w:rPr>
          <w:sz w:val="20"/>
          <w:szCs w:val="20"/>
          <w:color w:val="auto"/>
        </w:rPr>
      </w:pPr>
    </w:p>
    <w:p>
      <w:pPr>
        <w:ind w:right="40" w:firstLine="405"/>
        <w:spacing w:after="0" w:line="238" w:lineRule="auto"/>
        <w:rPr>
          <w:sz w:val="20"/>
          <w:szCs w:val="20"/>
          <w:color w:val="auto"/>
        </w:rPr>
      </w:pPr>
      <w:r>
        <w:rPr>
          <w:rFonts w:ascii="Arial" w:cs="Arial" w:eastAsia="Arial" w:hAnsi="Arial"/>
          <w:sz w:val="18"/>
          <w:szCs w:val="18"/>
          <w:color w:val="auto"/>
        </w:rPr>
        <w:t>In February 2021 we announced that we discontinued development of BIIB054 as a potential treatment of Parkinson's disease as our Phase 2 SPARK study did not meet its primary or secondary endpoints. Although we made this determination in February 2021, it was based on conditions that existed as of December 31, 2020. As a result, we recognized an impairment charge of approximately $75.4 million during the fourth quarter of 2020 to reduce the fair value of the related IPR&amp;D intangible asset to zero.</w:t>
      </w:r>
    </w:p>
    <w:p>
      <w:pPr>
        <w:spacing w:after="0" w:line="8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IPR&amp;D impairment charges were included in amortization and impairment of acquired intangible assets and the gain resulting from the remeasurement of our contingent consideration obligation was recorded in (gain) loss on fair value remeasurement of contingent consideration in our consolidated statements of income. The fair value of the intangible assets and contingent consideration obligations were based on a probability-adjusted discounted cash flow calculation using Level 3 fair value measurements and inputs including estimated revenues, costs and probabilities of success.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Vixotrigine</w:t>
      </w:r>
    </w:p>
    <w:p>
      <w:pPr>
        <w:spacing w:after="0" w:line="12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as we engaged with the U.S. Food and Drug Administration (FDA) regarding the design of the Phase 3 studies and awaited data and insights from mid-stage clinical trials of vixotrigine in other indications that have since been completed. The fair value of the TGN asset is not significantly in excess of carrying value. As of December 31, 2020, the carrying value associated with our vixotrigine IPR&amp;D assets was $177.5 million.</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Estimated Future Amortization of Intangible Assets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2020</w:t>
            </w:r>
          </w:p>
        </w:tc>
      </w:tr>
      <w:tr>
        <w:trPr>
          <w:trHeight w:val="183"/>
        </w:trPr>
        <w:tc>
          <w:tcPr>
            <w:tcW w:w="8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80" w:type="dxa"/>
            <w:vAlign w:val="bottom"/>
            <w:tcBorders>
              <w:top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20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205.0</w:t>
            </w:r>
          </w:p>
        </w:tc>
      </w:tr>
      <w:tr>
        <w:trPr>
          <w:trHeight w:val="190"/>
        </w:trPr>
        <w:tc>
          <w:tcPr>
            <w:tcW w:w="8980" w:type="dxa"/>
            <w:vAlign w:val="bottom"/>
          </w:tcPr>
          <w:p>
            <w:pPr>
              <w:ind w:left="2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215.0</w:t>
            </w: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215.0</w:t>
            </w: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225.0</w:t>
            </w:r>
          </w:p>
        </w:tc>
      </w:tr>
      <w:tr>
        <w:trPr>
          <w:trHeight w:val="188"/>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220.0</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Goodwill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r>
      <w:tr>
        <w:trPr>
          <w:trHeight w:val="18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beginning of year</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5,757.8</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5,706.4</w:t>
            </w:r>
          </w:p>
        </w:tc>
      </w:tr>
      <w:tr>
        <w:trPr>
          <w:trHeight w:val="190"/>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Increase to goodwill</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117.5</w:t>
            </w:r>
          </w:p>
        </w:tc>
      </w:tr>
      <w:tr>
        <w:trPr>
          <w:trHeight w:val="189"/>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Elimination of goodwill allocated to Hillerød, Denmark manufacturing operations</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188"/>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DDDDDD"/>
          </w:tcPr>
          <w:p>
            <w:pPr>
              <w:spacing w:after="0"/>
              <w:rPr>
                <w:sz w:val="16"/>
                <w:szCs w:val="16"/>
                <w:color w:val="auto"/>
              </w:rPr>
            </w:pPr>
          </w:p>
        </w:tc>
        <w:tc>
          <w:tcPr>
            <w:tcW w:w="14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4.3</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end of year</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5,762.1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5,757.8</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As of December 31, 2020, we had no accumulated impairment losses related to goodwill. Other includes adjustments related to foreign currency exchange rate fluctuations.</w:t>
      </w:r>
    </w:p>
    <w:p>
      <w:pPr>
        <w:spacing w:after="0" w:line="126"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578196"/>
        </w:rPr>
      </w:pPr>
      <w:r>
        <w:rPr>
          <w:rFonts w:ascii="Arial" w:cs="Arial" w:eastAsia="Arial" w:hAnsi="Arial"/>
          <w:sz w:val="22"/>
          <w:szCs w:val="22"/>
          <w:b w:val="1"/>
          <w:bCs w:val="1"/>
          <w:color w:val="578196"/>
        </w:rPr>
        <w:t>Fair Value Measurements</w:t>
      </w:r>
    </w:p>
    <w:p>
      <w:pPr>
        <w:spacing w:after="0" w:line="184"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Quoted Prices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Active 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Observable 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626.9</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6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626.9</w:t>
            </w:r>
          </w:p>
        </w:tc>
        <w:tc>
          <w:tcPr>
            <w:tcW w:w="320" w:type="dxa"/>
            <w:vAlign w:val="bottom"/>
            <w:gridSpan w:val="3"/>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1,301.5</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1,301.5</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627.1</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627.1</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122.4</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122.4</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1,974.3</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271.1</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1,703.2</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20.5</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20.5</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28.2</w:t>
            </w:r>
          </w:p>
        </w:tc>
        <w:tc>
          <w:tcPr>
            <w:tcW w:w="10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28.2</w:t>
            </w:r>
          </w:p>
        </w:tc>
        <w:tc>
          <w:tcPr>
            <w:tcW w:w="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23"/>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4,700.9</w:t>
            </w:r>
          </w:p>
        </w:tc>
        <w:tc>
          <w:tcPr>
            <w:tcW w:w="10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271.1</w:t>
            </w:r>
          </w:p>
        </w:tc>
        <w:tc>
          <w:tcPr>
            <w:tcW w:w="4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4,429.8</w:t>
            </w:r>
          </w:p>
        </w:tc>
        <w:tc>
          <w:tcPr>
            <w:tcW w:w="2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55"/>
        </w:trPr>
        <w:tc>
          <w:tcPr>
            <w:tcW w:w="492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Liabilities:</w:t>
            </w:r>
          </w:p>
        </w:tc>
        <w:tc>
          <w:tcPr>
            <w:tcW w:w="340" w:type="dxa"/>
            <w:vAlign w:val="bottom"/>
            <w:shd w:val="clear" w:color="auto" w:fill="DDDDDD"/>
          </w:tcPr>
          <w:p>
            <w:pPr>
              <w:spacing w:after="0"/>
              <w:rPr>
                <w:sz w:val="13"/>
                <w:szCs w:val="13"/>
                <w:color w:val="auto"/>
              </w:rPr>
            </w:pPr>
          </w:p>
        </w:tc>
        <w:tc>
          <w:tcPr>
            <w:tcW w:w="116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32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36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32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217.2</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217.2</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259.8</w:t>
            </w:r>
          </w:p>
        </w:tc>
        <w:tc>
          <w:tcPr>
            <w:tcW w:w="100" w:type="dxa"/>
            <w:vAlign w:val="bottom"/>
            <w:tcBorders>
              <w:bottom w:val="single" w:sz="8" w:color="DDDDDD"/>
            </w:tcBorders>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259.8</w:t>
            </w:r>
          </w:p>
        </w:tc>
        <w:tc>
          <w:tcPr>
            <w:tcW w:w="0" w:type="dxa"/>
            <w:vAlign w:val="bottom"/>
          </w:tcPr>
          <w:p>
            <w:pPr>
              <w:spacing w:after="0"/>
              <w:rPr>
                <w:sz w:val="1"/>
                <w:szCs w:val="1"/>
                <w:color w:val="auto"/>
              </w:rPr>
            </w:pPr>
          </w:p>
        </w:tc>
      </w:tr>
      <w:tr>
        <w:trPr>
          <w:trHeight w:val="208"/>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477.0</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217.2</w:t>
            </w:r>
          </w:p>
        </w:tc>
        <w:tc>
          <w:tcPr>
            <w:tcW w:w="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259.8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13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 Active Markets</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2,541.1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2,541.1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1,695.1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1,013.9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5,920.4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5,912.5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9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183"/>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 xml:space="preserve">There have been no material impairments of our assets measured and carried at fair value during the years ended December 31, 2020 and 2019. In addition, there have been no changes in valuation techniques during the years ended December 31, 2020 and 2019. The fair value of Level 2 instruments classified as cash equivalents and marketable debt securities was determined through third-party pricing services. The fair value of Level 2 instruments classified as marketable equity securities represents our investments in Sangamo Therapeutics, Inc. (Sangamo) common stock, Denali Therapeutics Inc. (Denali) common stock and Sage Therapeutics, Inc. (Sage) common stock and are valued using an option pricing valuation model as the investments are each subject to certain holding period restrictions. For additional information on our investments in Sangamo, Denali and Sage common stock, please read </w:t>
      </w:r>
      <w:r>
        <w:rPr>
          <w:rFonts w:ascii="Arial" w:cs="Arial" w:eastAsia="Arial" w:hAnsi="Arial"/>
          <w:sz w:val="18"/>
          <w:szCs w:val="18"/>
          <w:i w:val="1"/>
          <w:iCs w:val="1"/>
          <w:color w:val="auto"/>
        </w:rPr>
        <w:t>Note 8, Financial Instruments</w:t>
      </w:r>
      <w:r>
        <w:rPr>
          <w:rFonts w:ascii="Arial" w:cs="Arial" w:eastAsia="Arial" w:hAnsi="Arial"/>
          <w:sz w:val="18"/>
          <w:szCs w:val="18"/>
          <w:color w:val="auto"/>
        </w:rPr>
        <w:t>, to these consolidated financial statements.</w:t>
      </w:r>
    </w:p>
    <w:p>
      <w:pPr>
        <w:spacing w:after="0" w:line="15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 xml:space="preserve">Our investments in marketable equity securities also include shares of Ionis Pharmaceuticals, Inc. (Ionis) common stock acquired in June 2018. Our shares of Ionis common stock were initially subject to certain holding period restrictions that have since expired. The fair value of this investment was a Level 1 measurement as of December 31, 2020. For additional information on our collaboration arrangements with Ionis,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50"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to these consolidated financial statements.</w:t>
      </w:r>
    </w:p>
    <w:p>
      <w:pPr>
        <w:spacing w:after="0" w:line="148"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following table summarizes the significant unobservable inputs in the fair value measurement of our contingent consideration obligations as of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As of December 31, 2020</w:t>
            </w: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Range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Contingent consideration</w:t>
            </w:r>
          </w:p>
        </w:tc>
        <w:tc>
          <w:tcPr>
            <w:tcW w:w="1160" w:type="dxa"/>
            <w:vAlign w:val="bottom"/>
            <w:vMerge w:val="restart"/>
            <w:shd w:val="clear" w:color="auto" w:fill="DBDBDB"/>
          </w:tcPr>
          <w:p>
            <w:pPr>
              <w:jc w:val="right"/>
              <w:ind w:right="288"/>
              <w:spacing w:after="0"/>
              <w:rPr>
                <w:sz w:val="20"/>
                <w:szCs w:val="20"/>
                <w:color w:val="auto"/>
              </w:rPr>
            </w:pPr>
            <w:r>
              <w:rPr>
                <w:rFonts w:ascii="Arial" w:cs="Arial" w:eastAsia="Arial" w:hAnsi="Arial"/>
                <w:sz w:val="14"/>
                <w:szCs w:val="14"/>
                <w:color w:val="026DCE"/>
              </w:rPr>
              <w:t>$259.8</w:t>
            </w:r>
          </w:p>
        </w:tc>
        <w:tc>
          <w:tcPr>
            <w:tcW w:w="100" w:type="dxa"/>
            <w:vAlign w:val="bottom"/>
          </w:tcPr>
          <w:p>
            <w:pPr>
              <w:spacing w:after="0"/>
              <w:rPr>
                <w:sz w:val="22"/>
                <w:szCs w:val="22"/>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color w:val="auto"/>
              </w:rPr>
              <w:t>Discounted cash flow</w:t>
            </w: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color w:val="auto"/>
              </w:rPr>
              <w:t>Discount rate</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026DCE"/>
              </w:rPr>
              <w:t>0.60%</w:t>
            </w:r>
          </w:p>
        </w:tc>
        <w:tc>
          <w:tcPr>
            <w:tcW w:w="1600" w:type="dxa"/>
            <w:vAlign w:val="bottom"/>
            <w:gridSpan w:val="2"/>
            <w:shd w:val="clear" w:color="auto" w:fill="DBDBDB"/>
          </w:tcPr>
          <w:p>
            <w:pPr>
              <w:jc w:val="right"/>
              <w:ind w:right="468"/>
              <w:spacing w:after="0"/>
              <w:rPr>
                <w:sz w:val="20"/>
                <w:szCs w:val="20"/>
                <w:color w:val="auto"/>
              </w:rPr>
            </w:pPr>
            <w:r>
              <w:rPr>
                <w:rFonts w:ascii="Arial" w:cs="Arial" w:eastAsia="Arial" w:hAnsi="Arial"/>
                <w:sz w:val="14"/>
                <w:szCs w:val="14"/>
                <w:color w:val="026DCE"/>
              </w:rPr>
              <w:t>0.60%</w:t>
            </w:r>
          </w:p>
        </w:tc>
        <w:tc>
          <w:tcPr>
            <w:tcW w:w="0" w:type="dxa"/>
            <w:vAlign w:val="bottom"/>
          </w:tcPr>
          <w:p>
            <w:pPr>
              <w:spacing w:after="0"/>
              <w:rPr>
                <w:sz w:val="1"/>
                <w:szCs w:val="1"/>
                <w:color w:val="auto"/>
              </w:rPr>
            </w:pPr>
          </w:p>
        </w:tc>
      </w:tr>
      <w:tr>
        <w:trPr>
          <w:trHeight w:val="45"/>
        </w:trPr>
        <w:tc>
          <w:tcPr>
            <w:tcW w:w="2280" w:type="dxa"/>
            <w:vAlign w:val="bottom"/>
            <w:gridSpan w:val="2"/>
            <w:vMerge w:val="continue"/>
          </w:tcPr>
          <w:p>
            <w:pPr>
              <w:spacing w:after="0"/>
              <w:rPr>
                <w:sz w:val="3"/>
                <w:szCs w:val="3"/>
                <w:color w:val="auto"/>
              </w:rPr>
            </w:pPr>
          </w:p>
        </w:tc>
        <w:tc>
          <w:tcPr>
            <w:tcW w:w="1160" w:type="dxa"/>
            <w:vAlign w:val="bottom"/>
            <w:vMerge w:val="continue"/>
            <w:shd w:val="clear" w:color="auto" w:fill="DBDBDB"/>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5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2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rPr>
              <w:t>obligation</w:t>
            </w:r>
          </w:p>
        </w:tc>
        <w:tc>
          <w:tcPr>
            <w:tcW w:w="1160" w:type="dxa"/>
            <w:vAlign w:val="bottom"/>
            <w:vMerge w:val="continue"/>
            <w:shd w:val="clear" w:color="auto" w:fill="DBDBDB"/>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rPr>
              <w:t>Expected timing of achievement of</w:t>
            </w:r>
          </w:p>
        </w:tc>
        <w:tc>
          <w:tcPr>
            <w:tcW w:w="166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280" w:type="dxa"/>
            <w:vAlign w:val="bottom"/>
            <w:gridSpan w:val="2"/>
            <w:vMerge w:val="continue"/>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2"/>
            <w:vMerge w:val="continue"/>
          </w:tcPr>
          <w:p>
            <w:pPr>
              <w:spacing w:after="0"/>
              <w:rPr>
                <w:sz w:val="3"/>
                <w:szCs w:val="3"/>
                <w:color w:val="auto"/>
              </w:rPr>
            </w:pP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26DCE"/>
              </w:rPr>
              <w:t>2021 to 2025</w:t>
            </w:r>
          </w:p>
        </w:tc>
        <w:tc>
          <w:tcPr>
            <w:tcW w:w="100" w:type="dxa"/>
            <w:vAlign w:val="bottom"/>
            <w:shd w:val="clear" w:color="auto" w:fill="DBDBDB"/>
          </w:tcPr>
          <w:p>
            <w:pPr>
              <w:spacing w:after="0"/>
              <w:rPr>
                <w:sz w:val="3"/>
                <w:szCs w:val="3"/>
                <w:color w:val="auto"/>
              </w:rPr>
            </w:pPr>
          </w:p>
        </w:tc>
        <w:tc>
          <w:tcPr>
            <w:tcW w:w="1500" w:type="dxa"/>
            <w:vAlign w:val="bottom"/>
            <w:vMerge w:val="restart"/>
            <w:shd w:val="clear" w:color="auto" w:fill="DBDBDB"/>
          </w:tcPr>
          <w:p>
            <w:pPr>
              <w:jc w:val="right"/>
              <w:ind w:right="608"/>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6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auto"/>
        </w:rPr>
        <w:t>The weighted average discount rate was calculated based on the relative fair value of our contingent consideration obligations. In addition, we apply various probabilities of technological and regulatory success, ranging from 39.9% to certain probability, to the valuation models to estimate the fair values of our contingent consideration obligations.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Nonrecurring Fair Value Measurements</w:t>
      </w:r>
    </w:p>
    <w:p>
      <w:pPr>
        <w:spacing w:after="0" w:line="193"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In addition to assets and liabilities that are recorded at fair value on a recurring basis, we record assets and liabilities at fair value on a nonrecurring basis as required by accounting principles generally accepted in the U.S. (U.S. GAAP). Generally, assets are recorded at fair value on a nonrecurring basis as a result of impairment charges.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gains or losses on assets measured at fair value on a nonrecurring basis, are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18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Beginning Book Value</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Ending Book Value</w:t>
            </w:r>
          </w:p>
        </w:tc>
      </w:tr>
      <w:tr>
        <w:trPr>
          <w:trHeight w:val="183"/>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BIIB111 intangible asset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8"/>
              <w:spacing w:after="0"/>
              <w:rPr>
                <w:sz w:val="20"/>
                <w:szCs w:val="20"/>
                <w:color w:val="auto"/>
              </w:rPr>
            </w:pPr>
            <w:r>
              <w:rPr>
                <w:rFonts w:ascii="Arial" w:cs="Arial" w:eastAsia="Arial" w:hAnsi="Arial"/>
                <w:sz w:val="14"/>
                <w:szCs w:val="14"/>
                <w:color w:val="auto"/>
              </w:rPr>
              <w:t>480.0</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5"/>
                <w:szCs w:val="15"/>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26DCE"/>
              </w:rPr>
              <w:t>$</w:t>
            </w:r>
          </w:p>
        </w:tc>
        <w:tc>
          <w:tcPr>
            <w:tcW w:w="1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365.0</w:t>
            </w:r>
          </w:p>
        </w:tc>
      </w:tr>
    </w:tbl>
    <w:p>
      <w:pPr>
        <w:spacing w:after="0" w:line="161"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 xml:space="preserve">For the year ended December 31, 2020, we recorded a partial impairment charge of $115.0 million related to BIIB111. For additional information, please read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to these consolidated financial statements.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our debt instruments, which are Level 2 liabilities, are summarized as follows:</w:t>
      </w:r>
    </w:p>
    <w:p>
      <w:pPr>
        <w:spacing w:after="0" w:line="11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17780</wp:posOffset>
            </wp:positionV>
            <wp:extent cx="23914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40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2020</w:t>
            </w:r>
          </w:p>
        </w:tc>
      </w:tr>
      <w:tr>
        <w:trPr>
          <w:trHeight w:val="183"/>
        </w:trPr>
        <w:tc>
          <w:tcPr>
            <w:tcW w:w="540" w:type="dxa"/>
            <w:vAlign w:val="bottom"/>
          </w:tcPr>
          <w:p>
            <w:pPr>
              <w:ind w:left="20"/>
              <w:spacing w:after="0"/>
              <w:rPr>
                <w:sz w:val="20"/>
                <w:szCs w:val="20"/>
                <w:color w:val="auto"/>
              </w:rPr>
            </w:pPr>
            <w:r>
              <w:rPr>
                <w:rFonts w:ascii="Arial" w:cs="Arial" w:eastAsia="Arial" w:hAnsi="Arial"/>
                <w:sz w:val="14"/>
                <w:szCs w:val="14"/>
                <w:color w:val="auto"/>
              </w:rPr>
              <w:t>2.900%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2020</w:t>
            </w:r>
            <w:r>
              <w:rPr>
                <w:rFonts w:ascii="Arial" w:cs="Arial" w:eastAsia="Arial" w:hAnsi="Arial"/>
                <w:sz w:val="9"/>
                <w:szCs w:val="9"/>
                <w:color w:val="auto"/>
              </w:rPr>
              <w:t>(1)</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r>
      <w:tr>
        <w:trPr>
          <w:trHeight w:val="190"/>
        </w:trPr>
        <w:tc>
          <w:tcPr>
            <w:tcW w:w="540" w:type="dxa"/>
            <w:vAlign w:val="bottom"/>
          </w:tcPr>
          <w:p>
            <w:pPr>
              <w:ind w:left="20"/>
              <w:spacing w:after="0"/>
              <w:rPr>
                <w:sz w:val="20"/>
                <w:szCs w:val="20"/>
                <w:color w:val="auto"/>
              </w:rPr>
            </w:pPr>
            <w:r>
              <w:rPr>
                <w:rFonts w:ascii="Arial" w:cs="Arial" w:eastAsia="Arial" w:hAnsi="Arial"/>
                <w:sz w:val="14"/>
                <w:szCs w:val="14"/>
                <w:color w:val="auto"/>
              </w:rPr>
              <w:t>3.625%</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2022</w:t>
            </w:r>
          </w:p>
        </w:tc>
        <w:tc>
          <w:tcPr>
            <w:tcW w:w="420" w:type="dxa"/>
            <w:vAlign w:val="bottom"/>
            <w:shd w:val="clear" w:color="auto" w:fill="DDDDDD"/>
          </w:tcPr>
          <w:p>
            <w:pPr>
              <w:spacing w:after="0"/>
              <w:rPr>
                <w:sz w:val="16"/>
                <w:szCs w:val="16"/>
                <w:color w:val="auto"/>
              </w:rPr>
            </w:pPr>
          </w:p>
        </w:tc>
        <w:tc>
          <w:tcPr>
            <w:tcW w:w="1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1,054.1</w:t>
            </w: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4.050%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420" w:type="dxa"/>
            <w:vAlign w:val="bottom"/>
            <w:shd w:val="clear" w:color="auto" w:fill="DDDDDD"/>
          </w:tcPr>
          <w:p>
            <w:pPr>
              <w:spacing w:after="0"/>
              <w:rPr>
                <w:sz w:val="16"/>
                <w:szCs w:val="16"/>
                <w:color w:val="auto"/>
              </w:rPr>
            </w:pPr>
          </w:p>
        </w:tc>
        <w:tc>
          <w:tcPr>
            <w:tcW w:w="1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2,003.1</w:t>
            </w: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2.250%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420" w:type="dxa"/>
            <w:vAlign w:val="bottom"/>
            <w:shd w:val="clear" w:color="auto" w:fill="DDDDDD"/>
          </w:tcPr>
          <w:p>
            <w:pPr>
              <w:spacing w:after="0"/>
              <w:rPr>
                <w:sz w:val="16"/>
                <w:szCs w:val="16"/>
                <w:color w:val="auto"/>
              </w:rPr>
            </w:pPr>
          </w:p>
        </w:tc>
        <w:tc>
          <w:tcPr>
            <w:tcW w:w="1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1,557.2</w:t>
            </w: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5.200%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420" w:type="dxa"/>
            <w:vAlign w:val="bottom"/>
            <w:shd w:val="clear" w:color="auto" w:fill="DDDDDD"/>
          </w:tcPr>
          <w:p>
            <w:pPr>
              <w:spacing w:after="0"/>
              <w:rPr>
                <w:sz w:val="16"/>
                <w:szCs w:val="16"/>
                <w:color w:val="auto"/>
              </w:rPr>
            </w:pPr>
          </w:p>
        </w:tc>
        <w:tc>
          <w:tcPr>
            <w:tcW w:w="14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2,365.1</w:t>
            </w:r>
          </w:p>
        </w:tc>
      </w:tr>
      <w:tr>
        <w:trPr>
          <w:trHeight w:val="188"/>
        </w:trPr>
        <w:tc>
          <w:tcPr>
            <w:tcW w:w="540" w:type="dxa"/>
            <w:vAlign w:val="bottom"/>
          </w:tcPr>
          <w:p>
            <w:pPr>
              <w:ind w:left="20"/>
              <w:spacing w:after="0"/>
              <w:rPr>
                <w:sz w:val="20"/>
                <w:szCs w:val="20"/>
                <w:color w:val="auto"/>
              </w:rPr>
            </w:pPr>
            <w:r>
              <w:rPr>
                <w:rFonts w:ascii="Arial" w:cs="Arial" w:eastAsia="Arial" w:hAnsi="Arial"/>
                <w:sz w:val="14"/>
                <w:szCs w:val="14"/>
                <w:color w:val="auto"/>
              </w:rPr>
              <w:t>3.150%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420" w:type="dxa"/>
            <w:vAlign w:val="bottom"/>
            <w:tcBorders>
              <w:bottom w:val="single" w:sz="8" w:color="auto"/>
            </w:tcBorders>
            <w:shd w:val="clear" w:color="auto" w:fill="DDDDDD"/>
          </w:tcPr>
          <w:p>
            <w:pPr>
              <w:spacing w:after="0"/>
              <w:rPr>
                <w:sz w:val="16"/>
                <w:szCs w:val="16"/>
                <w:color w:val="auto"/>
              </w:rPr>
            </w:pPr>
          </w:p>
        </w:tc>
        <w:tc>
          <w:tcPr>
            <w:tcW w:w="14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1,536.4</w:t>
            </w:r>
          </w:p>
        </w:tc>
      </w:tr>
      <w:tr>
        <w:trPr>
          <w:trHeight w:val="208"/>
        </w:trPr>
        <w:tc>
          <w:tcPr>
            <w:tcW w:w="540" w:type="dxa"/>
            <w:vAlign w:val="bottom"/>
          </w:tcPr>
          <w:p>
            <w:pPr>
              <w:ind w:left="140"/>
              <w:spacing w:after="0"/>
              <w:rPr>
                <w:sz w:val="20"/>
                <w:szCs w:val="20"/>
                <w:color w:val="auto"/>
              </w:rPr>
            </w:pPr>
            <w:r>
              <w:rPr>
                <w:rFonts w:ascii="Arial" w:cs="Arial" w:eastAsia="Arial" w:hAnsi="Arial"/>
                <w:sz w:val="14"/>
                <w:szCs w:val="14"/>
                <w:color w:val="auto"/>
              </w:rPr>
              <w:t>Total</w:t>
            </w:r>
          </w:p>
        </w:tc>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8,515.9</w:t>
            </w:r>
          </w:p>
        </w:tc>
      </w:tr>
      <w:tr>
        <w:trPr>
          <w:trHeight w:val="20"/>
        </w:trPr>
        <w:tc>
          <w:tcPr>
            <w:tcW w:w="5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7774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738"/>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1658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40" w:lineRule="exact"/>
        <w:rPr>
          <w:sz w:val="20"/>
          <w:szCs w:val="20"/>
          <w:color w:val="auto"/>
        </w:rPr>
      </w:pPr>
    </w:p>
    <w:p>
      <w:pPr>
        <w:ind w:left="1278" w:hanging="1278"/>
        <w:spacing w:after="0"/>
        <w:tabs>
          <w:tab w:leader="none" w:pos="1278" w:val="left"/>
        </w:tabs>
        <w:numPr>
          <w:ilvl w:val="0"/>
          <w:numId w:val="99"/>
        </w:numPr>
        <w:rPr>
          <w:rFonts w:ascii="Arial" w:cs="Arial" w:eastAsia="Arial" w:hAnsi="Arial"/>
          <w:sz w:val="14"/>
          <w:szCs w:val="14"/>
          <w:color w:val="auto"/>
        </w:rPr>
      </w:pPr>
      <w:r>
        <w:rPr>
          <w:rFonts w:ascii="Arial" w:cs="Arial" w:eastAsia="Arial" w:hAnsi="Arial"/>
          <w:sz w:val="14"/>
          <w:szCs w:val="14"/>
          <w:color w:val="auto"/>
        </w:rPr>
        <w:t>1,509.6</w:t>
      </w:r>
    </w:p>
    <w:p>
      <w:pPr>
        <w:spacing w:after="0" w:line="28"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1,038.9</w:t>
      </w:r>
    </w:p>
    <w:p>
      <w:pPr>
        <w:spacing w:after="0" w:line="28"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1,897.2</w:t>
      </w:r>
    </w:p>
    <w:p>
      <w:pPr>
        <w:spacing w:after="0" w:line="28" w:lineRule="exact"/>
        <w:rPr>
          <w:rFonts w:ascii="Arial" w:cs="Arial" w:eastAsia="Arial" w:hAnsi="Arial"/>
          <w:sz w:val="14"/>
          <w:szCs w:val="14"/>
          <w:color w:val="auto"/>
        </w:rPr>
      </w:pPr>
    </w:p>
    <w:p>
      <w:pPr>
        <w:ind w:left="1598"/>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2,107.9</w:t>
      </w:r>
    </w:p>
    <w:p>
      <w:pPr>
        <w:spacing w:after="0" w:line="28" w:lineRule="exact"/>
        <w:rPr>
          <w:rFonts w:ascii="Arial" w:cs="Arial" w:eastAsia="Arial" w:hAnsi="Arial"/>
          <w:sz w:val="14"/>
          <w:szCs w:val="14"/>
          <w:color w:val="auto"/>
        </w:rPr>
      </w:pPr>
    </w:p>
    <w:p>
      <w:pPr>
        <w:ind w:left="1598"/>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165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 w:lineRule="exact"/>
        <w:rPr>
          <w:sz w:val="20"/>
          <w:szCs w:val="20"/>
          <w:color w:val="auto"/>
        </w:rPr>
      </w:pPr>
    </w:p>
    <w:p>
      <w:pPr>
        <w:ind w:left="1278" w:hanging="1278"/>
        <w:spacing w:after="0"/>
        <w:tabs>
          <w:tab w:leader="none" w:pos="127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6,553.6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11658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3">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31750</wp:posOffset>
            </wp:positionV>
            <wp:extent cx="11658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9300" w:space="122"/>
            <w:col w:w="1758"/>
          </w:cols>
          <w:pgMar w:left="320" w:top="144" w:right="399" w:bottom="1440" w:gutter="0" w:footer="0" w:header="0"/>
          <w:type w:val="continuous"/>
        </w:sectPr>
      </w:pPr>
    </w:p>
    <w:p>
      <w:pPr>
        <w:spacing w:after="0" w:line="169" w:lineRule="exact"/>
        <w:rPr>
          <w:sz w:val="20"/>
          <w:szCs w:val="20"/>
          <w:color w:val="auto"/>
        </w:rPr>
      </w:pPr>
    </w:p>
    <w:p>
      <w:pPr>
        <w:ind w:right="80" w:firstLine="8"/>
        <w:spacing w:after="0" w:line="258" w:lineRule="auto"/>
        <w:tabs>
          <w:tab w:leader="none" w:pos="154" w:val="left"/>
        </w:tabs>
        <w:numPr>
          <w:ilvl w:val="0"/>
          <w:numId w:val="101"/>
        </w:numPr>
        <w:rPr>
          <w:rFonts w:ascii="Arial" w:cs="Arial" w:eastAsia="Arial" w:hAnsi="Arial"/>
          <w:sz w:val="9"/>
          <w:szCs w:val="9"/>
          <w:color w:val="auto"/>
        </w:rPr>
      </w:pPr>
      <w:r>
        <w:rPr>
          <w:rFonts w:ascii="Arial" w:cs="Arial" w:eastAsia="Arial" w:hAnsi="Arial"/>
          <w:sz w:val="14"/>
          <w:szCs w:val="14"/>
          <w:color w:val="auto"/>
        </w:rPr>
        <w:t xml:space="preserve">Our 2.900% Senior Notes due September 15, 2020, were redeemed in full in May 2020 using the net proceeds from the issuance on April 30, 2020, of our senior unsecured notes for an aggregate principal amount of $3.0 billion. For additional information, please read </w:t>
      </w:r>
      <w:r>
        <w:rPr>
          <w:rFonts w:ascii="Arial" w:cs="Arial" w:eastAsia="Arial" w:hAnsi="Arial"/>
          <w:sz w:val="14"/>
          <w:szCs w:val="14"/>
          <w:i w:val="1"/>
          <w:iCs w:val="1"/>
          <w:color w:val="auto"/>
        </w:rPr>
        <w:t>Note 12, Indebtedness</w:t>
      </w:r>
      <w:r>
        <w:rPr>
          <w:rFonts w:ascii="Arial" w:cs="Arial" w:eastAsia="Arial" w:hAnsi="Arial"/>
          <w:sz w:val="14"/>
          <w:szCs w:val="14"/>
          <w:color w:val="auto"/>
        </w:rPr>
        <w:t>, to these consolidated financial statements.</w:t>
      </w:r>
    </w:p>
    <w:p>
      <w:pPr>
        <w:spacing w:after="0" w:line="80" w:lineRule="exact"/>
        <w:rPr>
          <w:sz w:val="20"/>
          <w:szCs w:val="20"/>
          <w:color w:val="auto"/>
        </w:rPr>
      </w:pPr>
    </w:p>
    <w:p>
      <w:pPr>
        <w:ind w:right="520" w:firstLine="405"/>
        <w:spacing w:after="0" w:line="261"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For additional information related to our Senior Notes,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to these consolidated financial statements.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2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connection with our acquisitions of Convergence and Biogen International Neuroscience GmbH (BIN), we agreed to make additional payments based upon the achievement of certain milestone events. The following table provides a roll forward of the fair values of our contingent consideration obligations, which includes Level 3 measurements: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18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year</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346.1</w:t>
            </w:r>
          </w:p>
        </w:tc>
        <w:tc>
          <w:tcPr>
            <w:tcW w:w="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409.8</w:t>
            </w:r>
          </w:p>
        </w:tc>
      </w:tr>
      <w:tr>
        <w:trPr>
          <w:trHeight w:val="190"/>
        </w:trPr>
        <w:tc>
          <w:tcPr>
            <w:tcW w:w="652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(86.3)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(63.7)</w:t>
            </w:r>
          </w:p>
        </w:tc>
      </w:tr>
      <w:tr>
        <w:trPr>
          <w:trHeight w:val="188"/>
        </w:trPr>
        <w:tc>
          <w:tcPr>
            <w:tcW w:w="6520" w:type="dxa"/>
            <w:vAlign w:val="bottom"/>
            <w:gridSpan w:val="2"/>
          </w:tcPr>
          <w:p>
            <w:pPr>
              <w:ind w:left="140"/>
              <w:spacing w:after="0"/>
              <w:rPr>
                <w:sz w:val="20"/>
                <w:szCs w:val="20"/>
                <w:color w:val="auto"/>
              </w:rPr>
            </w:pPr>
            <w:r>
              <w:rPr>
                <w:rFonts w:ascii="Arial" w:cs="Arial" w:eastAsia="Arial" w:hAnsi="Arial"/>
                <w:sz w:val="14"/>
                <w:szCs w:val="14"/>
                <w:color w:val="auto"/>
              </w:rPr>
              <w:t>Payments and other</w:t>
            </w:r>
          </w:p>
        </w:tc>
        <w:tc>
          <w:tcPr>
            <w:tcW w:w="36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Fair value, end of year</w:t>
            </w: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259.8</w:t>
            </w:r>
          </w:p>
        </w:tc>
        <w:tc>
          <w:tcPr>
            <w:tcW w:w="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346.1</w:t>
            </w: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As of December 31, 2020 and 2019, approximately $110.3 million and $197.7 million, respectively, of the fair value of our total contingent consideration obligations was reflected as a component of other long-term liabilities in our consolidated balance sheets with the remaining balance reflected as a component of accrued expenses and other.</w:t>
      </w:r>
    </w:p>
    <w:p>
      <w:pPr>
        <w:spacing w:after="0" w:line="148"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For the year ended December 31, 2020, changes in the fair value of our contingent consideration obligations were primarily due to our discontinuing development of BIIB054 for the potential treatment of Parkinson's disease, resulting in a reduction of our contingent consideration obligations of $51.0 million as well as other changes in the</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type w:val="continuous"/>
        </w:sectPr>
      </w:pPr>
    </w:p>
    <w:bookmarkStart w:id="128" w:name="page129"/>
    <w:bookmarkEnd w:id="1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probability and the expected timing of the achievement of certain remaining developmental milestones, changes in the interest rates used to revalue our contingent consideration liabilities and the passage of time.</w:t>
      </w:r>
    </w:p>
    <w:p>
      <w:pPr>
        <w:spacing w:after="0" w:line="144"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For the year ended December 31, 2019, changes in the fair value of our contingent consideration obligations were primarily due to the discontinuation of the Phase 2b study of BG00011 for the potential treatment of IPF resulting in a reduction of our contingent consideration obligations of $61.2 million as well as other changes in the probability and expected timing of achievement of certain developmental milestones, a decrease in interest rates used to revalue our contingent consideration liabilities and the passage of time.</w:t>
      </w:r>
    </w:p>
    <w:p>
      <w:pPr>
        <w:spacing w:after="0" w:line="150"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 xml:space="preserve">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these consolidated financial statements.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Convergence Pharmaceuticals Holdings Limited</w:t>
      </w:r>
    </w:p>
    <w:p>
      <w:pPr>
        <w:spacing w:after="0" w:line="122"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connection with our acquisition of Convergence in February 2015 we recorded a contingent consideration obligation of $274.5 million. As of December 31, 2020 and 2019, the fair value of this contingent consideration obligation was $259.8 million and $244.6 million, respectively. Our most recent valuation was determined based upon net cash flow projections of $400.0 million, probability weighted and discounted using a rate of 0.6%, which is a measure of the credit risk associated with settling the liability.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Biogen International Neuroscience GmbH</w:t>
      </w:r>
    </w:p>
    <w:p>
      <w:pPr>
        <w:spacing w:after="0" w:line="108"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In connection with our acquisition of BIN in December 2010 we recorded a contingent consideration obligation of $ 81.2 million. We discontinued further development of BIIB054 for the potential treatment of Parkinson's disease based on the results of a Phase 2 study of BIIB054. Additionally, during the third and fourth quarters of 2020 we discontinued other programs related to our acquisition of BIN for which we had immaterial contingent consideration obligations. As a result, the fair value of the contingent consideration obligations related to our acquisition of BIN has been adjusted to zero, resulting in a gain of $101.5 million for the year ended December 31, 2020.</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Acquired IPR&amp;D</w:t>
      </w:r>
    </w:p>
    <w:p>
      <w:pPr>
        <w:spacing w:after="0" w:line="12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The fair values of the acquired IPR&amp;D assets were based on a probability-adjusted discounted cash flow calculation using Level 3 fair value measurements and inputs including estimated revenues and probabilities of success. These assets are tested for impairment annually until commercialization, after which time the acquired IPR&amp;D will be amortized over its estimated useful life using the economic consumption method. In connection with our acquisition of BIN, we recognized a $110.9 million acquired IPR&amp;D intangible asset. We discontinued further development of BIIB054 for the potential treatment of Parkinson's disease and recognized an impairment charge of $75.4 million during the fourth quarter of 2020 to reduce the fair value of the IPR&amp;D intangible asset to zero. In connection with our acquisition of Stromedix Inc., we recognized a $219.2 million acquired IPR&amp;D intangible asset. During the third quarter of 2019 we discontinued the Phase 2b study of BG00011 for the potential treatment of IPF and recognized an impairment charge of $215.9 million to reduce the fair value of the IPR&amp;D intangible asset to zero. In connection with our acquisition of Convergence, we recognized a $424.6 million acquired IPR&amp;D intangible asset. During the third quarter of 2018 we recognized impairment charges related to certain IPR&amp;D assets associated with our vixotrigine program totaling $189.3 million. For additional information on our IPR&amp;D intangible assets, including a discussion of our most significant assumptions, please read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22"/>
          <w:szCs w:val="22"/>
          <w:b w:val="1"/>
          <w:bCs w:val="1"/>
          <w:color w:val="578196"/>
        </w:rPr>
      </w:pPr>
      <w:r>
        <w:rPr>
          <w:rFonts w:ascii="Arial" w:cs="Arial" w:eastAsia="Arial" w:hAnsi="Arial"/>
          <w:sz w:val="22"/>
          <w:szCs w:val="22"/>
          <w:b w:val="1"/>
          <w:bCs w:val="1"/>
          <w:color w:val="578196"/>
        </w:rPr>
        <w:t>Financial Instruments</w:t>
      </w:r>
    </w:p>
    <w:p>
      <w:pPr>
        <w:spacing w:after="0" w:line="116"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r>
      <w:tr>
        <w:trPr>
          <w:trHeight w:val="18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48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61.1</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384.4</w:t>
            </w:r>
          </w:p>
        </w:tc>
      </w:tr>
      <w:tr>
        <w:trPr>
          <w:trHeight w:val="190"/>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48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37.4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368.8</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48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505.1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1,628.5</w:t>
            </w:r>
          </w:p>
        </w:tc>
      </w:tr>
      <w:tr>
        <w:trPr>
          <w:trHeight w:val="188"/>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480" w:type="dxa"/>
            <w:vAlign w:val="bottom"/>
            <w:tcBorders>
              <w:bottom w:val="single" w:sz="8" w:color="auto"/>
            </w:tcBorders>
            <w:shd w:val="clear" w:color="auto" w:fill="DDDDDD"/>
          </w:tcPr>
          <w:p>
            <w:pPr>
              <w:spacing w:after="0"/>
              <w:rPr>
                <w:sz w:val="16"/>
                <w:szCs w:val="16"/>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23.3</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w:t>
            </w:r>
          </w:p>
        </w:tc>
      </w:tr>
      <w:tr>
        <w:trPr>
          <w:trHeight w:val="203"/>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DDDDD"/>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626.9</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2,541.1</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and our short-term debt securities approximate fair value due to their short-term maturities.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marketable equity securities gains (losses) are recorded in other income (expense), net in our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marketable debt and equity securities, classified as available for sale: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00" w:type="dxa"/>
            <w:vAlign w:val="bottom"/>
            <w:shd w:val="clear" w:color="auto" w:fill="DDDDDD"/>
          </w:tcPr>
          <w:p>
            <w:pPr>
              <w:spacing w:after="0"/>
              <w:rPr>
                <w:sz w:val="15"/>
                <w:szCs w:val="15"/>
                <w:color w:val="auto"/>
              </w:rPr>
            </w:pPr>
          </w:p>
        </w:tc>
        <w:tc>
          <w:tcPr>
            <w:tcW w:w="14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4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3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2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897.8</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0.4</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(0.2)</w:t>
            </w: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898.0</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shd w:val="clear" w:color="auto" w:fill="DDDDDD"/>
          </w:tcPr>
          <w:p>
            <w:pPr>
              <w:spacing w:after="0"/>
              <w:rPr>
                <w:sz w:val="16"/>
                <w:szCs w:val="16"/>
                <w:color w:val="auto"/>
              </w:rPr>
            </w:pP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402.5</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403.5</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0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DDDDDD"/>
          </w:tcPr>
          <w:p>
            <w:pPr>
              <w:spacing w:after="0"/>
              <w:rPr>
                <w:sz w:val="16"/>
                <w:szCs w:val="16"/>
                <w:color w:val="auto"/>
              </w:rPr>
            </w:pP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380.6</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0.1</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420" w:type="dxa"/>
            <w:vAlign w:val="bottom"/>
            <w:gridSpan w:val="2"/>
            <w:shd w:val="clear" w:color="auto" w:fill="DDDDDD"/>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380.7</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shd w:val="clear" w:color="auto" w:fill="DDDDDD"/>
          </w:tcPr>
          <w:p>
            <w:pPr>
              <w:spacing w:after="0"/>
              <w:rPr>
                <w:sz w:val="16"/>
                <w:szCs w:val="16"/>
                <w:color w:val="auto"/>
              </w:rPr>
            </w:pP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245.9</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0.5</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420" w:type="dxa"/>
            <w:vAlign w:val="bottom"/>
            <w:gridSpan w:val="2"/>
            <w:shd w:val="clear" w:color="auto" w:fill="DDDDDD"/>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246.4</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0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DDDDDD"/>
          </w:tcPr>
          <w:p>
            <w:pPr>
              <w:spacing w:after="0"/>
              <w:rPr>
                <w:sz w:val="16"/>
                <w:szCs w:val="16"/>
                <w:color w:val="auto"/>
              </w:rPr>
            </w:pP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0.2</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56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DDDDD"/>
          </w:tcPr>
          <w:p>
            <w:pPr>
              <w:spacing w:after="0"/>
              <w:rPr>
                <w:sz w:val="16"/>
                <w:szCs w:val="16"/>
                <w:color w:val="auto"/>
              </w:rPr>
            </w:pPr>
          </w:p>
        </w:tc>
        <w:tc>
          <w:tcPr>
            <w:tcW w:w="1420" w:type="dxa"/>
            <w:vAlign w:val="bottom"/>
            <w:gridSpan w:val="2"/>
            <w:shd w:val="clear" w:color="auto" w:fill="DDDDDD"/>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0.2</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tcBorders>
              <w:bottom w:val="single" w:sz="8" w:color="auto"/>
            </w:tcBorders>
            <w:shd w:val="clear" w:color="auto" w:fill="DDDDDD"/>
          </w:tcPr>
          <w:p>
            <w:pPr>
              <w:spacing w:after="0"/>
              <w:rPr>
                <w:sz w:val="16"/>
                <w:szCs w:val="16"/>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122.1</w:t>
            </w:r>
          </w:p>
        </w:tc>
        <w:tc>
          <w:tcPr>
            <w:tcW w:w="2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4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0.2</w:t>
            </w:r>
          </w:p>
        </w:tc>
        <w:tc>
          <w:tcPr>
            <w:tcW w:w="10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Borders>
              <w:bottom w:val="single" w:sz="8" w:color="DDDDDD"/>
            </w:tcBorders>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122.2</w:t>
            </w:r>
          </w:p>
        </w:tc>
        <w:tc>
          <w:tcPr>
            <w:tcW w:w="0" w:type="dxa"/>
            <w:vAlign w:val="bottom"/>
          </w:tcPr>
          <w:p>
            <w:pPr>
              <w:spacing w:after="0"/>
              <w:rPr>
                <w:sz w:val="1"/>
                <w:szCs w:val="1"/>
                <w:color w:val="auto"/>
              </w:rPr>
            </w:pPr>
          </w:p>
        </w:tc>
      </w:tr>
      <w:tr>
        <w:trPr>
          <w:trHeight w:val="223"/>
        </w:trPr>
        <w:tc>
          <w:tcPr>
            <w:tcW w:w="4660" w:type="dxa"/>
            <w:vAlign w:val="bottom"/>
            <w:gridSpan w:val="2"/>
          </w:tcPr>
          <w:p>
            <w:pPr>
              <w:ind w:left="220"/>
              <w:spacing w:after="0"/>
              <w:rPr>
                <w:sz w:val="20"/>
                <w:szCs w:val="20"/>
                <w:color w:val="auto"/>
              </w:rPr>
            </w:pPr>
            <w:r>
              <w:rPr>
                <w:rFonts w:ascii="Arial" w:cs="Arial" w:eastAsia="Arial" w:hAnsi="Arial"/>
                <w:sz w:val="14"/>
                <w:szCs w:val="14"/>
                <w:color w:val="auto"/>
              </w:rPr>
              <w:t>Total marketable debt securities</w:t>
            </w:r>
          </w:p>
        </w:tc>
        <w:tc>
          <w:tcPr>
            <w:tcW w:w="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2,049.1</w:t>
            </w:r>
          </w:p>
        </w:tc>
        <w:tc>
          <w:tcPr>
            <w:tcW w:w="2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w:t>
            </w:r>
          </w:p>
        </w:tc>
        <w:tc>
          <w:tcPr>
            <w:tcW w:w="146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2.3</w:t>
            </w:r>
          </w:p>
        </w:tc>
        <w:tc>
          <w:tcPr>
            <w:tcW w:w="100" w:type="dxa"/>
            <w:vAlign w:val="bottom"/>
            <w:tcBorders>
              <w:bottom w:val="single" w:sz="8" w:color="DDDDDD"/>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(0.4)</w:t>
            </w:r>
          </w:p>
        </w:tc>
        <w:tc>
          <w:tcPr>
            <w:tcW w:w="12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2,051.0</w:t>
            </w: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equity securities, current</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70.6</w:t>
            </w: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b w:val="1"/>
                <w:bCs w:val="1"/>
                <w:color w:val="2573BA"/>
              </w:rPr>
              <w:t>$</w:t>
            </w:r>
          </w:p>
        </w:tc>
        <w:tc>
          <w:tcPr>
            <w:tcW w:w="1460" w:type="dxa"/>
            <w:vAlign w:val="bottom"/>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15.9</w:t>
            </w: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420" w:type="dxa"/>
            <w:vAlign w:val="bottom"/>
            <w:gridSpan w:val="2"/>
            <w:shd w:val="clear" w:color="auto" w:fill="DDDDDD"/>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86.5</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equity securities, non-current</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1,168.9</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b w:val="1"/>
                <w:bCs w:val="1"/>
                <w:color w:val="2573BA"/>
              </w:rPr>
              <w:t>$</w:t>
            </w:r>
          </w:p>
        </w:tc>
        <w:tc>
          <w:tcPr>
            <w:tcW w:w="1460" w:type="dxa"/>
            <w:vAlign w:val="bottom"/>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733.8</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(14.9)</w:t>
            </w: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1,887.8</w:t>
            </w:r>
          </w:p>
        </w:tc>
        <w:tc>
          <w:tcPr>
            <w:tcW w:w="0" w:type="dxa"/>
            <w:vAlign w:val="bottom"/>
          </w:tcPr>
          <w:p>
            <w:pPr>
              <w:spacing w:after="0"/>
              <w:rPr>
                <w:sz w:val="1"/>
                <w:szCs w:val="1"/>
                <w:color w:val="auto"/>
              </w:rPr>
            </w:pPr>
          </w:p>
        </w:tc>
      </w:tr>
      <w:tr>
        <w:trPr>
          <w:trHeight w:val="310"/>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4"/>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1,057.2</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1,058.2</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636.9</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503.3</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510.6</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8"/>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260.6</w:t>
            </w:r>
          </w:p>
        </w:tc>
        <w:tc>
          <w:tcPr>
            <w:tcW w:w="0" w:type="dxa"/>
            <w:vAlign w:val="bottom"/>
          </w:tcPr>
          <w:p>
            <w:pPr>
              <w:spacing w:after="0"/>
              <w:rPr>
                <w:sz w:val="1"/>
                <w:szCs w:val="1"/>
                <w:color w:val="auto"/>
              </w:rPr>
            </w:pPr>
          </w:p>
        </w:tc>
      </w:tr>
      <w:tr>
        <w:trPr>
          <w:trHeight w:val="183"/>
        </w:trPr>
        <w:tc>
          <w:tcPr>
            <w:tcW w:w="466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2,965.0</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2,970.3</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equity securities, non-current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218.4</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Summary of Contractual Maturities: Available-for-Sale Debt Securities</w:t>
      </w:r>
    </w:p>
    <w:p>
      <w:pPr>
        <w:spacing w:after="0" w:line="126"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The estimated fair value and amortized cost of our marketable debt securities available-for-sale by contractual maturity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2960" w:type="dxa"/>
            <w:vAlign w:val="bottom"/>
            <w:tcBorders>
              <w:bottom w:val="single" w:sz="8" w:color="auto"/>
            </w:tcBorders>
            <w:gridSpan w:val="5"/>
            <w:shd w:val="clear" w:color="auto" w:fill="DDDDDD"/>
          </w:tcPr>
          <w:p>
            <w:pPr>
              <w:jc w:val="right"/>
              <w:ind w:right="708"/>
              <w:spacing w:after="0"/>
              <w:rPr>
                <w:sz w:val="20"/>
                <w:szCs w:val="20"/>
                <w:color w:val="auto"/>
              </w:rPr>
            </w:pPr>
            <w:r>
              <w:rPr>
                <w:rFonts w:ascii="Arial" w:cs="Arial" w:eastAsia="Arial" w:hAnsi="Arial"/>
                <w:sz w:val="14"/>
                <w:szCs w:val="14"/>
                <w:b w:val="1"/>
                <w:bCs w:val="1"/>
                <w:color w:val="2573BA"/>
              </w:rPr>
              <w:t>As of December 31, 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Estimated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130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1,278.9</w:t>
            </w:r>
          </w:p>
        </w:tc>
        <w:tc>
          <w:tcPr>
            <w:tcW w:w="400" w:type="dxa"/>
            <w:vAlign w:val="bottom"/>
            <w:gridSpan w:val="3"/>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1,278.6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1,562.2</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1,560.8</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8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722.6</w:t>
            </w: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721.3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1,234.5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1,230.4</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8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49.5</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49.2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Total marketable debt securities</w:t>
            </w: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2,051.0</w:t>
            </w:r>
          </w:p>
        </w:tc>
        <w:tc>
          <w:tcPr>
            <w:tcW w:w="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2,049.1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2,970.3</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2,965.0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average maturity of our marketable debt securities available-for-sale as of December 31, 2020 and 2019, was approximately 11 months and 14 months, respectively.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Proceeds from Marketable Debt Securities</w:t>
      </w:r>
    </w:p>
    <w:p>
      <w:pPr>
        <w:spacing w:after="0" w:line="126"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7,299.4</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6,007.0</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9,173.7</w:t>
            </w:r>
          </w:p>
        </w:tc>
      </w:tr>
      <w:tr>
        <w:trPr>
          <w:trHeight w:val="190"/>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38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8"/>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38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w:t>
            </w:r>
          </w:p>
        </w:tc>
      </w:tr>
    </w:tbl>
    <w:p>
      <w:pPr>
        <w:spacing w:after="0" w:line="161"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Realized losses for the year ended December 31, 2020, 2019 and 2018, primarily relate to sales of corporate bonds, agency mortgage-backed securities and other asset-backed securities.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Strategic Investments</w:t>
      </w:r>
    </w:p>
    <w:p>
      <w:pPr>
        <w:spacing w:after="0" w:line="112"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As of December 31, 2020 and 2019, our strategic investment portfolio was comprised of investments totaling $2,024.6 million and $393.9 million, respectively, which are included in investments and other assets in our consolidated balance sheets.</w:t>
      </w:r>
    </w:p>
    <w:p>
      <w:pPr>
        <w:spacing w:after="0" w:line="76"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7, Fair Value Measurements</w:t>
      </w:r>
      <w:r>
        <w:rPr>
          <w:rFonts w:ascii="Arial" w:cs="Arial" w:eastAsia="Arial" w:hAnsi="Arial"/>
          <w:sz w:val="18"/>
          <w:szCs w:val="18"/>
          <w:color w:val="auto"/>
        </w:rPr>
        <w:t>, to these consolidated financial statements, venture capital funds where the underlying investments are in equity securities of certain biotechnology companies and non-marketable equity securities.</w:t>
      </w:r>
    </w:p>
    <w:p>
      <w:pPr>
        <w:spacing w:after="0" w:line="80"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The increase in our strategic investment portfolio for the year ended December 31, 2020, was primarily due to our purchases of Sage, Denali and Sangamo common stock, as discussed below. These purchases were reflected as net cash flows used in investing activities within the consolidated statement of cash flows.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Sage Therapeutics, Inc.</w:t>
      </w:r>
    </w:p>
    <w:p>
      <w:pPr>
        <w:spacing w:after="0" w:line="13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November 2020 we entered into a global collaboration and license agreement with Sage. In connection with the closing of this collaboration in December 2020 we purchased approximately 6.2 million shares of Sage common stock.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Sage common stock and a dividend yield of zero based upon the fact that Sage and similar companies generally have not historically granted cash dividends.</w:t>
      </w:r>
    </w:p>
    <w:p>
      <w:pPr>
        <w:spacing w:after="0" w:line="52" w:lineRule="exact"/>
        <w:rPr>
          <w:sz w:val="20"/>
          <w:szCs w:val="20"/>
          <w:color w:val="auto"/>
        </w:rPr>
      </w:pPr>
    </w:p>
    <w:p>
      <w:pPr>
        <w:ind w:right="28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agreement with Sage,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Denali Therapeutics Inc.</w:t>
      </w:r>
    </w:p>
    <w:p>
      <w:pPr>
        <w:spacing w:after="0" w:line="12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August 2020 we entered into a collaboration and license agreement with Denali. As part of this collaboration we purchased approximately 13 million shares of Denali common stock in September 2020.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Denali common stock and a dividend yield of zero based upon the fact that Denali and similar companies generally have not historically granted cash dividends.</w:t>
      </w:r>
    </w:p>
    <w:p>
      <w:pPr>
        <w:spacing w:after="0" w:line="54" w:lineRule="exact"/>
        <w:rPr>
          <w:sz w:val="20"/>
          <w:szCs w:val="20"/>
          <w:color w:val="auto"/>
        </w:rPr>
      </w:pPr>
    </w:p>
    <w:p>
      <w:pPr>
        <w:ind w:right="18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agreement with Denali,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Sangamo Therapeutics, Inc.</w:t>
      </w:r>
    </w:p>
    <w:p>
      <w:pPr>
        <w:spacing w:after="0" w:line="18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 February 2020 we entered into a collaboration and license agreement with Sangamo. In connection with the closing of this transaction in April 2020 we purchased approximately 24 million shares of Sangamo common stock. This equity method investment will be remeasured each reporting period and carried at fair value due to our election of the fair value option.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Sangamo common stock and a dividend yield of zero based upon the fact that Sangamo and similar companies generally have not historically granted cash dividends.</w:t>
      </w:r>
    </w:p>
    <w:p>
      <w:pPr>
        <w:spacing w:after="0" w:line="135" w:lineRule="exact"/>
        <w:rPr>
          <w:sz w:val="20"/>
          <w:szCs w:val="20"/>
          <w:color w:val="auto"/>
        </w:rPr>
      </w:pPr>
    </w:p>
    <w:p>
      <w:pPr>
        <w:ind w:right="120" w:firstLine="243"/>
        <w:spacing w:after="0" w:line="282" w:lineRule="auto"/>
        <w:rPr>
          <w:sz w:val="20"/>
          <w:szCs w:val="20"/>
          <w:color w:val="auto"/>
        </w:rPr>
      </w:pPr>
      <w:r>
        <w:rPr>
          <w:rFonts w:ascii="Arial" w:cs="Arial" w:eastAsia="Arial" w:hAnsi="Arial"/>
          <w:sz w:val="18"/>
          <w:szCs w:val="18"/>
          <w:color w:val="auto"/>
        </w:rPr>
        <w:t xml:space="preserve">For additional information on our collaboration agreement with Sangamo,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Samsung Bioepis</w:t>
      </w:r>
    </w:p>
    <w:p>
      <w:pPr>
        <w:spacing w:after="0" w:line="12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June 2018 we exercised our option under our joint venture agreement with Samsung BioLogics to increase our ownership percentage in Samsung Bioepis from approximately 5.0% to approximately 49.9%. The share purchase transaction was completed in November 2018 and, upon closing, we paid 759.5 billion South Korean won ($676.6 million) to Samsung BioLogics.</w:t>
      </w:r>
    </w:p>
    <w:p>
      <w:pPr>
        <w:spacing w:after="0" w:line="148"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As of December 31, 2020 and 2019, the carrying value of our investment in Samsung Bioepis totaled 673.8 billion South Korean won ($620.2 million) and 670.8 billion South Korean won ($580.2 million), respectively, which is classified as a component of investments and other assets within our consolidated balance sheets.</w:t>
      </w:r>
    </w:p>
    <w:p>
      <w:pPr>
        <w:spacing w:after="0" w:line="49" w:lineRule="exact"/>
        <w:rPr>
          <w:sz w:val="20"/>
          <w:szCs w:val="20"/>
          <w:color w:val="auto"/>
        </w:rPr>
      </w:pPr>
    </w:p>
    <w:p>
      <w:pPr>
        <w:ind w:right="4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107" w:lineRule="exact"/>
        <w:rPr>
          <w:sz w:val="20"/>
          <w:szCs w:val="20"/>
          <w:color w:val="auto"/>
        </w:rPr>
      </w:pPr>
    </w:p>
    <w:p>
      <w:pPr>
        <w:ind w:left="420" w:hanging="412"/>
        <w:spacing w:after="0"/>
        <w:tabs>
          <w:tab w:leader="none" w:pos="420" w:val="left"/>
        </w:tabs>
        <w:numPr>
          <w:ilvl w:val="0"/>
          <w:numId w:val="103"/>
        </w:numPr>
        <w:rPr>
          <w:rFonts w:ascii="Arial" w:cs="Arial" w:eastAsia="Arial" w:hAnsi="Arial"/>
          <w:sz w:val="22"/>
          <w:szCs w:val="22"/>
          <w:b w:val="1"/>
          <w:bCs w:val="1"/>
          <w:color w:val="578196"/>
        </w:rPr>
      </w:pPr>
      <w:r>
        <w:rPr>
          <w:rFonts w:ascii="Arial" w:cs="Arial" w:eastAsia="Arial" w:hAnsi="Arial"/>
          <w:sz w:val="22"/>
          <w:szCs w:val="22"/>
          <w:b w:val="1"/>
          <w:bCs w:val="1"/>
          <w:color w:val="578196"/>
        </w:rPr>
        <w:t>Derivative Instruments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Forward Contracts - Hedging Instruments</w:t>
      </w:r>
    </w:p>
    <w:p>
      <w:pPr>
        <w:spacing w:after="0" w:line="126"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Due to the global nature of our operations, portions of our revenues and operating expenses are recorded in currencies other than the U.S. dollar. The value of revenues and operating expenses measured in U.S. dollars is therefore subject to changes in foreign currency exchange rates. In order to mitigate these changes, we use foreign currency forward contracts to lock in exchange rates associated with a portion of our forecasted international revenues and operating expenses.</w:t>
      </w:r>
    </w:p>
    <w:p>
      <w:pPr>
        <w:spacing w:after="0" w:line="15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Foreign currency forward contracts in effect as of December 31, 2020 and 2019, had durations of 1 to 24 months and 1 to 15 months, respectively. These contracts have been designated as cash flow hedges and unrealized gains or losses on the portion of these foreign currency forward contracts that are included in the effectiveness test are reported in accumulated other comprehensive income (loss) (referred to as AOCI in the table below). Realized gains and losses of such contracts are recognized in revenues when the sale of product in the currency being hedged is recognized and in operating expenses when the expense in the currency being hedged is recorded. We recognize all cash flow hedge reclassifications from accumulated other comprehensive income (loss)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and fair value changes of excluded portions in the same line item in our consolidated statements of income that has been impacted by the hedged item.</w:t>
      </w:r>
    </w:p>
    <w:p>
      <w:pPr>
        <w:spacing w:after="0" w:line="144"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notional value of foreign currency forward contracts that were entered into to hedge forecasted revenues and operating expenses is summarized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Notional Amount</w:t>
            </w:r>
          </w:p>
        </w:tc>
        <w:tc>
          <w:tcPr>
            <w:tcW w:w="1100" w:type="dxa"/>
            <w:vAlign w:val="bottom"/>
          </w:tcPr>
          <w:p>
            <w:pPr>
              <w:spacing w:after="0"/>
              <w:rPr>
                <w:sz w:val="14"/>
                <w:szCs w:val="14"/>
                <w:color w:val="auto"/>
              </w:rPr>
            </w:pPr>
          </w:p>
        </w:tc>
      </w:tr>
      <w:tr>
        <w:trPr>
          <w:trHeight w:val="176"/>
        </w:trPr>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2,979.1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1,892.4</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40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250.6</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w:t>
            </w: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3,229.7</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1,892.4</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pre-tax portion of the fair value of these foreign currency forward contracts that were included in accumulated other comprehensive income (loss) in total equity reflected net losses of $212.5 million as of December 31, 2020, net gains of $ 0.5 million as of December 31, 2019, and net gains of $27.3 million as of December 31, 2018. We expect the net losses of $212.5 million to be settled over the next 24 months, of which $175.2 million of these losses are expected to be settled over the next 12 months, with any amounts in accumulated other comprehensive income (loss) to be reported as an adjustment to revenues or operating expenses. We consider the impact of our and our counterparties’ credit risk on the fair value of the contracts as well as the ability of each party to execute its contractual obligations. As of December 31, 2020 and 2019, credit risk did not materially change the fair value of our foreign currency forward contracts.</w:t>
      </w:r>
    </w:p>
    <w:p>
      <w:pPr>
        <w:spacing w:after="0" w:line="72"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The following table summarizes the effect of foreign currency forward contracts designated as hedging instruments in our consolidated statements of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center"/>
              <w:ind w:left="288"/>
              <w:spacing w:after="0" w:line="142"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center"/>
              <w:ind w:left="208"/>
              <w:spacing w:after="0" w:line="142"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76"/>
        </w:trPr>
        <w:tc>
          <w:tcPr>
            <w:tcW w:w="4840" w:type="dxa"/>
            <w:vAlign w:val="bottom"/>
            <w:tcBorders>
              <w:bottom w:val="single" w:sz="8" w:color="auto"/>
            </w:tcBorders>
            <w:gridSpan w:val="10"/>
          </w:tcPr>
          <w:p>
            <w:pPr>
              <w:jc w:val="center"/>
              <w:ind w:left="64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0" w:type="dxa"/>
            <w:vAlign w:val="bottom"/>
            <w:tcBorders>
              <w:bottom w:val="single" w:sz="8" w:color="auto"/>
            </w:tcBorders>
            <w:gridSpan w:val="9"/>
          </w:tcPr>
          <w:p>
            <w:pPr>
              <w:jc w:val="center"/>
              <w:ind w:left="908"/>
              <w:spacing w:after="0"/>
              <w:rPr>
                <w:sz w:val="20"/>
                <w:szCs w:val="20"/>
                <w:color w:val="auto"/>
              </w:rPr>
            </w:pPr>
            <w:r>
              <w:rPr>
                <w:rFonts w:ascii="Arial" w:cs="Arial" w:eastAsia="Arial" w:hAnsi="Arial"/>
                <w:sz w:val="14"/>
                <w:szCs w:val="14"/>
                <w:b w:val="1"/>
                <w:bCs w:val="1"/>
                <w:color w:val="auto"/>
              </w:rPr>
              <w:t>Recognized in Operating Income (in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2"/>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76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7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183"/>
        </w:trPr>
        <w:tc>
          <w:tcPr>
            <w:tcW w:w="1720" w:type="dxa"/>
            <w:vAlign w:val="bottom"/>
          </w:tcPr>
          <w:p>
            <w:pPr>
              <w:ind w:left="20"/>
              <w:spacing w:after="0"/>
              <w:rPr>
                <w:sz w:val="20"/>
                <w:szCs w:val="20"/>
                <w:color w:val="auto"/>
              </w:rPr>
            </w:pPr>
            <w:r>
              <w:rPr>
                <w:rFonts w:ascii="Arial" w:cs="Arial" w:eastAsia="Arial" w:hAnsi="Arial"/>
                <w:sz w:val="14"/>
                <w:szCs w:val="14"/>
                <w:color w:val="auto"/>
              </w:rPr>
              <w:t>Revenues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b w:val="1"/>
                <w:bCs w:val="1"/>
                <w:color w:val="2573BA"/>
              </w:rPr>
              <w:t>$</w:t>
            </w:r>
          </w:p>
        </w:tc>
        <w:tc>
          <w:tcPr>
            <w:tcW w:w="760" w:type="dxa"/>
            <w:vAlign w:val="bottom"/>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18.3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118.6</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10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b w:val="1"/>
                <w:bCs w:val="1"/>
                <w:color w:val="2573BA"/>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4"/>
                <w:szCs w:val="14"/>
                <w:b w:val="1"/>
                <w:bCs w:val="1"/>
                <w:color w:val="2573BA"/>
              </w:rPr>
              <w:t>(9.9)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r>
        <w:trPr>
          <w:trHeight w:val="189"/>
        </w:trPr>
        <w:tc>
          <w:tcPr>
            <w:tcW w:w="17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60" w:type="dxa"/>
            <w:vAlign w:val="bottom"/>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0.2</w:t>
            </w:r>
          </w:p>
        </w:tc>
        <w:tc>
          <w:tcPr>
            <w:tcW w:w="100" w:type="dxa"/>
            <w:vAlign w:val="bottom"/>
          </w:tcPr>
          <w:p>
            <w:pPr>
              <w:spacing w:after="0"/>
              <w:rPr>
                <w:sz w:val="16"/>
                <w:szCs w:val="16"/>
                <w:color w:val="auto"/>
              </w:rPr>
            </w:pP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760" w:type="dxa"/>
            <w:vAlign w:val="bottom"/>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(0.1)</w:t>
            </w: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Interest Rate Contracts - Hedging Instruments</w:t>
      </w:r>
    </w:p>
    <w:p>
      <w:pPr>
        <w:spacing w:after="0" w:line="126"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We have entered into interest rate lock contracts or interest rate swap contracts on certain borrowing transactions to manage our exposure to interest rate changes and to reduce our overall cost of borrowing.</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Interest Rate Swap Contracts</w:t>
      </w:r>
    </w:p>
    <w:p>
      <w:pPr>
        <w:spacing w:after="0" w:line="122"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connection with the issuance of our 2.90% Senior Notes due September 15, 2020, we entered into interest rate swaps with an aggregate notional amount of $675.0 million, which were set to expire on September 15, 2020. The interest rate swap contracts were designated as hedges of the fair value changes in our 2.90% Senior Notes attributable to changes in interest rates. The carrying value of our 2.90% Senior Notes as of December 31, 2019, included approximately $ 2.3 million related to changes in the fair value of these interest rate swap contracts. In May 2020 we settled our interest rate swap contracts, in conjunction with our early redemption of our 2.90% Senior Notes, resulting in a gain of approximately $3.3 million for the year ended December 31, 2020, which was recorded as a component of interest expense in our consolidated statements of income.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Net Investment Hedges - Hedging Instruments</w:t>
      </w:r>
    </w:p>
    <w:p>
      <w:pPr>
        <w:spacing w:after="0" w:line="112"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The share purchase transaction was completed in November 2018 and, upon closing, we paid 759.5 billion South Korean won ($676.6 million) to Samsung BioLogics. Our investment in the equity of Samsung Bioepis is exposed to the currency fluctuations in the South Korean won.</w:t>
      </w:r>
    </w:p>
    <w:p>
      <w:pPr>
        <w:spacing w:after="0" w:line="151"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In order to mitigate these currency fluctuations between the U.S. dollar and South Korean won, we have entered into foreign currency forward contracts. Foreign currency forward contracts in effect as of December 31, 2020, had remaining durations of 10 months. These contracts have been designated as net investment hedges. We recognize changes in the spot exchange rate in accumulated other comprehensive income (loss). The pre-tax portion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of the fair value of these foreign currency forward contracts that were included in accumulated other comprehensive income (loss) in total equity reflected net losses of $21.2 million and $1.5 million as of December 31, 2020 and 2019, respectively. We exclude fair value changes related to the forward rate from our hedging relationship and will amortize the forward points in other income (expense), net in our consolidated statements of income over the term of the contract. The pre-tax portion of the fair value of the forward points that were included in accumulated other comprehensive income (loss) in total equity reflected gains of $0.2 million and $2.9 million as of December 31, 2020 and 2019, respectively.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effect of our net investment hedges in our consolidated financial statements: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4"/>
                <w:szCs w:val="14"/>
                <w:b w:val="1"/>
                <w:bCs w:val="1"/>
                <w:color w:val="auto"/>
              </w:rPr>
              <w:t>Net Gains/(Losses)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5"/>
          </w:tcPr>
          <w:p>
            <w:pPr>
              <w:jc w:val="center"/>
              <w:ind w:right="60"/>
              <w:spacing w:after="0" w:line="142" w:lineRule="exact"/>
              <w:rPr>
                <w:sz w:val="20"/>
                <w:szCs w:val="20"/>
                <w:color w:val="auto"/>
              </w:rPr>
            </w:pPr>
            <w:r>
              <w:rPr>
                <w:rFonts w:ascii="Arial" w:cs="Arial" w:eastAsia="Arial" w:hAnsi="Arial"/>
                <w:sz w:val="14"/>
                <w:szCs w:val="14"/>
                <w:b w:val="1"/>
                <w:bCs w:val="1"/>
                <w:color w:val="auto"/>
              </w:rPr>
              <w:t>Net Gains/(Losses)</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rPr>
              <w:t>Net Gains/(Losses)</w:t>
            </w: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gridSpan w:val="11"/>
          </w:tcPr>
          <w:p>
            <w:pPr>
              <w:jc w:val="center"/>
              <w:ind w:right="120"/>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720" w:type="dxa"/>
            <w:vAlign w:val="bottom"/>
          </w:tcPr>
          <w:p>
            <w:pPr>
              <w:spacing w:after="0"/>
              <w:rPr>
                <w:sz w:val="11"/>
                <w:szCs w:val="11"/>
                <w:color w:val="auto"/>
              </w:rPr>
            </w:pPr>
          </w:p>
        </w:tc>
        <w:tc>
          <w:tcPr>
            <w:tcW w:w="2140" w:type="dxa"/>
            <w:vAlign w:val="bottom"/>
            <w:gridSpan w:val="6"/>
          </w:tcPr>
          <w:p>
            <w:pPr>
              <w:jc w:val="center"/>
              <w:ind w:right="200"/>
              <w:spacing w:after="0" w:line="135" w:lineRule="exact"/>
              <w:rPr>
                <w:sz w:val="20"/>
                <w:szCs w:val="20"/>
                <w:color w:val="auto"/>
              </w:rPr>
            </w:pPr>
            <w:r>
              <w:rPr>
                <w:rFonts w:ascii="Arial" w:cs="Arial" w:eastAsia="Arial" w:hAnsi="Arial"/>
                <w:sz w:val="14"/>
                <w:szCs w:val="14"/>
                <w:b w:val="1"/>
                <w:bCs w:val="1"/>
                <w:color w:val="auto"/>
              </w:rPr>
              <w:t>Recognized in Net Income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10"/>
          </w:tcPr>
          <w:p>
            <w:pPr>
              <w:jc w:val="center"/>
              <w:ind w:right="100"/>
              <w:spacing w:after="0" w:line="135" w:lineRule="exact"/>
              <w:rPr>
                <w:sz w:val="20"/>
                <w:szCs w:val="20"/>
                <w:color w:val="auto"/>
              </w:rPr>
            </w:pPr>
            <w:r>
              <w:rPr>
                <w:rFonts w:ascii="Arial" w:cs="Arial" w:eastAsia="Arial" w:hAnsi="Arial"/>
                <w:sz w:val="14"/>
                <w:szCs w:val="14"/>
                <w:b w:val="1"/>
                <w:bCs w:val="1"/>
                <w:color w:val="auto"/>
              </w:rPr>
              <w:t>Recognized in Other Comprehensive Income (Effective</w:t>
            </w:r>
          </w:p>
        </w:tc>
        <w:tc>
          <w:tcPr>
            <w:tcW w:w="3780" w:type="dxa"/>
            <w:vAlign w:val="bottom"/>
            <w:gridSpan w:val="11"/>
          </w:tcPr>
          <w:p>
            <w:pPr>
              <w:jc w:val="center"/>
              <w:ind w:right="100"/>
              <w:spacing w:after="0" w:line="135" w:lineRule="exact"/>
              <w:rPr>
                <w:sz w:val="20"/>
                <w:szCs w:val="20"/>
                <w:color w:val="auto"/>
              </w:rPr>
            </w:pPr>
            <w:r>
              <w:rPr>
                <w:rFonts w:ascii="Arial" w:cs="Arial" w:eastAsia="Arial" w:hAnsi="Arial"/>
                <w:sz w:val="14"/>
                <w:szCs w:val="14"/>
                <w:b w:val="1"/>
                <w:bCs w:val="1"/>
                <w:color w:val="auto"/>
              </w:rPr>
              <w:t>(Amounts Excluded from Effectiveness Testing) (in</w:t>
            </w:r>
          </w:p>
        </w:tc>
        <w:tc>
          <w:tcPr>
            <w:tcW w:w="3420" w:type="dxa"/>
            <w:vAlign w:val="bottom"/>
            <w:gridSpan w:val="8"/>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 Testing)</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Portion) (in millions)</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rPr>
              <w:t>millions)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left="408"/>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2020</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7"/>
        </w:trPr>
        <w:tc>
          <w:tcPr>
            <w:tcW w:w="17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Gains (losses) on net</w:t>
            </w:r>
          </w:p>
        </w:tc>
        <w:tc>
          <w:tcPr>
            <w:tcW w:w="6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  (35.1)</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  (3.8)</w:t>
            </w:r>
          </w:p>
        </w:tc>
        <w:tc>
          <w:tcPr>
            <w:tcW w:w="120" w:type="dxa"/>
            <w:vAlign w:val="bottom"/>
          </w:tcPr>
          <w:p>
            <w:pPr>
              <w:spacing w:after="0"/>
              <w:rPr>
                <w:sz w:val="12"/>
                <w:szCs w:val="12"/>
                <w:color w:val="auto"/>
              </w:rPr>
            </w:pPr>
          </w:p>
        </w:tc>
        <w:tc>
          <w:tcPr>
            <w:tcW w:w="1780" w:type="dxa"/>
            <w:vAlign w:val="bottom"/>
            <w:gridSpan w:val="3"/>
          </w:tcPr>
          <w:p>
            <w:pPr>
              <w:spacing w:after="0" w:line="147" w:lineRule="exact"/>
              <w:rPr>
                <w:sz w:val="20"/>
                <w:szCs w:val="20"/>
                <w:color w:val="auto"/>
              </w:rPr>
            </w:pPr>
            <w:r>
              <w:rPr>
                <w:rFonts w:ascii="Arial" w:cs="Arial" w:eastAsia="Arial" w:hAnsi="Arial"/>
                <w:sz w:val="14"/>
                <w:szCs w:val="14"/>
                <w:color w:val="auto"/>
              </w:rPr>
              <w:t>Gains (losses) on net</w:t>
            </w:r>
          </w:p>
        </w:tc>
        <w:tc>
          <w:tcPr>
            <w:tcW w:w="5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   4.5</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ind w:left="240"/>
              <w:spacing w:after="0"/>
              <w:rPr>
                <w:sz w:val="20"/>
                <w:szCs w:val="20"/>
                <w:color w:val="auto"/>
              </w:rPr>
            </w:pPr>
            <w:r>
              <w:rPr>
                <w:rFonts w:ascii="Arial" w:cs="Arial" w:eastAsia="Arial" w:hAnsi="Arial"/>
                <w:sz w:val="14"/>
                <w:szCs w:val="14"/>
                <w:color w:val="auto"/>
              </w:rPr>
              <w:t>—</w:t>
            </w:r>
          </w:p>
        </w:tc>
        <w:tc>
          <w:tcPr>
            <w:tcW w:w="15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Other income</w:t>
            </w:r>
          </w:p>
        </w:tc>
        <w:tc>
          <w:tcPr>
            <w:tcW w:w="560" w:type="dxa"/>
            <w:vAlign w:val="bottom"/>
            <w:vMerge w:val="restart"/>
            <w:shd w:val="clear" w:color="auto" w:fill="DDDDDD"/>
          </w:tcPr>
          <w:p>
            <w:pPr>
              <w:jc w:val="right"/>
              <w:ind w:right="8"/>
              <w:spacing w:after="0"/>
              <w:rPr>
                <w:sz w:val="20"/>
                <w:szCs w:val="20"/>
                <w:color w:val="auto"/>
              </w:rPr>
            </w:pPr>
            <w:r>
              <w:rPr>
                <w:rFonts w:ascii="Arial" w:cs="Arial" w:eastAsia="Arial" w:hAnsi="Arial"/>
                <w:sz w:val="14"/>
                <w:szCs w:val="14"/>
                <w:color w:val="257ACB"/>
              </w:rPr>
              <w:t>$   2.9</w:t>
            </w:r>
          </w:p>
        </w:tc>
        <w:tc>
          <w:tcPr>
            <w:tcW w:w="10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   7.0</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   1.5</w:t>
            </w:r>
          </w:p>
        </w:tc>
        <w:tc>
          <w:tcPr>
            <w:tcW w:w="0" w:type="dxa"/>
            <w:vAlign w:val="bottom"/>
          </w:tcPr>
          <w:p>
            <w:pPr>
              <w:spacing w:after="0"/>
              <w:rPr>
                <w:sz w:val="1"/>
                <w:szCs w:val="1"/>
                <w:color w:val="auto"/>
              </w:rPr>
            </w:pPr>
          </w:p>
        </w:tc>
      </w:tr>
      <w:tr>
        <w:trPr>
          <w:trHeight w:val="171"/>
        </w:trPr>
        <w:tc>
          <w:tcPr>
            <w:tcW w:w="1220" w:type="dxa"/>
            <w:vAlign w:val="bottom"/>
          </w:tcPr>
          <w:p>
            <w:pPr>
              <w:ind w:left="20"/>
              <w:spacing w:after="0"/>
              <w:rPr>
                <w:sz w:val="20"/>
                <w:szCs w:val="20"/>
                <w:color w:val="auto"/>
              </w:rPr>
            </w:pPr>
            <w:r>
              <w:rPr>
                <w:rFonts w:ascii="Arial" w:cs="Arial" w:eastAsia="Arial" w:hAnsi="Arial"/>
                <w:sz w:val="14"/>
                <w:szCs w:val="14"/>
                <w:color w:val="auto"/>
              </w:rPr>
              <w:t>investment hedge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shd w:val="clear" w:color="auto" w:fill="DDDDDD"/>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investment hedge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shd w:val="clear" w:color="auto" w:fill="DDDDDD"/>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Forward Contracts - Other Derivative Instruments</w:t>
      </w:r>
    </w:p>
    <w:p>
      <w:pPr>
        <w:spacing w:after="0" w:line="126"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14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aggregate notional amount of these outstanding foreign currency contracts was $1,158.0 million and $793.8 million as of December 31, 2020 and 2019, respectively. Net gains of $30.1 million, net losses of $5.9 million and net gains of $2.0 million related to these contracts were recorded as a component of other income (expense), net for the years ended December 31, 2020, 2019 and 2018, respectively.</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Summary of Derivative Instruments</w:t>
      </w:r>
    </w:p>
    <w:p>
      <w:pPr>
        <w:spacing w:after="0" w:line="112"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consolidated balance sheets. The amounts in the table below would not be substantially different if the derivative assets and liabilities were offset.</w:t>
      </w:r>
    </w:p>
    <w:p>
      <w:pPr>
        <w:spacing w:after="0" w:line="148"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The following table summarizes the fair value and presentation in our consolidated balance sheets of our outstanding derivative instruments, including those designated as hedging instruments:</w:t>
      </w:r>
    </w:p>
    <w:p>
      <w:pPr>
        <w:sectPr>
          <w:pgSz w:w="11900" w:h="16838" w:orient="portrait"/>
          <w:cols w:equalWidth="0" w:num="1">
            <w:col w:w="11240"/>
          </w:cols>
          <w:pgMar w:left="320" w:top="144" w:right="339" w:bottom="1440" w:gutter="0" w:footer="0" w:header="0"/>
        </w:sect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799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140" w:right="400" w:hanging="120"/>
        <w:spacing w:after="0" w:line="300" w:lineRule="auto"/>
        <w:rPr>
          <w:sz w:val="20"/>
          <w:szCs w:val="20"/>
          <w:color w:val="auto"/>
        </w:rPr>
      </w:pPr>
      <w:r>
        <w:rPr>
          <w:rFonts w:ascii="Arial" w:cs="Arial" w:eastAsia="Arial" w:hAnsi="Arial"/>
          <w:sz w:val="14"/>
          <w:szCs w:val="14"/>
          <w:i w:val="1"/>
          <w:iCs w:val="1"/>
          <w:color w:val="auto"/>
        </w:rPr>
        <w:t xml:space="preserve">Cash Flow Hedging Instruments: </w:t>
      </w:r>
      <w:r>
        <w:rPr>
          <w:rFonts w:ascii="Arial" w:cs="Arial" w:eastAsia="Arial" w:hAnsi="Arial"/>
          <w:sz w:val="14"/>
          <w:szCs w:val="14"/>
          <w:color w:val="auto"/>
        </w:rPr>
        <w:t>Asset derivative instruments Liability derivative instruments</w:t>
      </w:r>
    </w:p>
    <w:p>
      <w:pPr>
        <w:spacing w:after="0" w:line="206" w:lineRule="exact"/>
        <w:rPr>
          <w:sz w:val="20"/>
          <w:szCs w:val="20"/>
          <w:color w:val="auto"/>
        </w:rPr>
      </w:pPr>
    </w:p>
    <w:p>
      <w:pPr>
        <w:ind w:left="140" w:right="120" w:hanging="120"/>
        <w:spacing w:after="0" w:line="300" w:lineRule="auto"/>
        <w:rPr>
          <w:sz w:val="20"/>
          <w:szCs w:val="20"/>
          <w:color w:val="auto"/>
        </w:rPr>
      </w:pPr>
      <w:r>
        <w:rPr>
          <w:rFonts w:ascii="Arial" w:cs="Arial" w:eastAsia="Arial" w:hAnsi="Arial"/>
          <w:sz w:val="14"/>
          <w:szCs w:val="14"/>
          <w:i w:val="1"/>
          <w:iCs w:val="1"/>
          <w:color w:val="auto"/>
        </w:rPr>
        <w:t xml:space="preserve">Net Investment Hedging Instruments: </w:t>
      </w:r>
      <w:r>
        <w:rPr>
          <w:rFonts w:ascii="Arial" w:cs="Arial" w:eastAsia="Arial" w:hAnsi="Arial"/>
          <w:sz w:val="14"/>
          <w:szCs w:val="14"/>
          <w:color w:val="auto"/>
        </w:rPr>
        <w:t>Asset derivative instruments Liability derivative instruments</w:t>
      </w:r>
    </w:p>
    <w:p>
      <w:pPr>
        <w:spacing w:after="0" w:line="17" w:lineRule="exact"/>
        <w:rPr>
          <w:sz w:val="20"/>
          <w:szCs w:val="20"/>
          <w:color w:val="auto"/>
        </w:rPr>
      </w:pPr>
    </w:p>
    <w:p>
      <w:pPr>
        <w:jc w:val="right"/>
        <w:ind w:left="20" w:right="460"/>
        <w:spacing w:after="0" w:line="319" w:lineRule="auto"/>
        <w:rPr>
          <w:sz w:val="20"/>
          <w:szCs w:val="20"/>
          <w:color w:val="auto"/>
        </w:rPr>
      </w:pPr>
      <w:r>
        <w:rPr>
          <w:rFonts w:ascii="Arial" w:cs="Arial" w:eastAsia="Arial" w:hAnsi="Arial"/>
          <w:sz w:val="14"/>
          <w:szCs w:val="14"/>
          <w:i w:val="1"/>
          <w:iCs w:val="1"/>
          <w:color w:val="auto"/>
        </w:rPr>
        <w:t xml:space="preserve">Fair Value Hedging Instruments </w:t>
      </w:r>
      <w:r>
        <w:rPr>
          <w:rFonts w:ascii="Arial" w:cs="Arial" w:eastAsia="Arial" w:hAnsi="Arial"/>
          <w:sz w:val="14"/>
          <w:szCs w:val="14"/>
          <w:color w:val="auto"/>
        </w:rPr>
        <w:t>Liability derivative instruments</w:t>
      </w:r>
    </w:p>
    <w:p>
      <w:pPr>
        <w:spacing w:after="0" w:line="4" w:lineRule="exact"/>
        <w:rPr>
          <w:sz w:val="20"/>
          <w:szCs w:val="20"/>
          <w:color w:val="auto"/>
        </w:rPr>
      </w:pPr>
    </w:p>
    <w:p>
      <w:pPr>
        <w:ind w:left="140" w:right="460" w:hanging="120"/>
        <w:spacing w:after="0" w:line="300" w:lineRule="auto"/>
        <w:rPr>
          <w:sz w:val="20"/>
          <w:szCs w:val="20"/>
          <w:color w:val="auto"/>
        </w:rPr>
      </w:pPr>
      <w:r>
        <w:rPr>
          <w:rFonts w:ascii="Arial" w:cs="Arial" w:eastAsia="Arial" w:hAnsi="Arial"/>
          <w:sz w:val="14"/>
          <w:szCs w:val="14"/>
          <w:i w:val="1"/>
          <w:iCs w:val="1"/>
          <w:color w:val="auto"/>
        </w:rPr>
        <w:t xml:space="preserve">Other Derivative Instruments: </w:t>
      </w:r>
      <w:r>
        <w:rPr>
          <w:rFonts w:ascii="Arial" w:cs="Arial" w:eastAsia="Arial" w:hAnsi="Arial"/>
          <w:sz w:val="14"/>
          <w:szCs w:val="14"/>
          <w:color w:val="auto"/>
        </w:rPr>
        <w:t>Asset derivative instruments Liability derivative instruments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tcBorders>
              <w:bottom w:val="single" w:sz="8" w:color="auto"/>
            </w:tcBorders>
          </w:tcPr>
          <w:p>
            <w:pPr>
              <w:spacing w:after="0"/>
              <w:rPr>
                <w:sz w:val="16"/>
                <w:szCs w:val="16"/>
                <w:color w:val="auto"/>
              </w:rPr>
            </w:pPr>
          </w:p>
        </w:tc>
      </w:tr>
      <w:tr>
        <w:trPr>
          <w:trHeight w:val="183"/>
        </w:trPr>
        <w:tc>
          <w:tcPr>
            <w:tcW w:w="34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2019</w:t>
            </w:r>
          </w:p>
        </w:tc>
      </w:tr>
      <w:tr>
        <w:trPr>
          <w:trHeight w:val="372"/>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DDDDD"/>
          </w:tcPr>
          <w:p>
            <w:pPr>
              <w:jc w:val="right"/>
              <w:ind w:right="348"/>
              <w:spacing w:after="0"/>
              <w:rPr>
                <w:sz w:val="20"/>
                <w:szCs w:val="20"/>
                <w:color w:val="auto"/>
              </w:rPr>
            </w:pPr>
            <w:r>
              <w:rPr>
                <w:rFonts w:ascii="Arial" w:cs="Arial" w:eastAsia="Arial" w:hAnsi="Arial"/>
                <w:sz w:val="14"/>
                <w:szCs w:val="14"/>
                <w:color w:val="2573BA"/>
              </w:rPr>
              <w:t>$</w:t>
            </w: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33.8</w:t>
            </w:r>
          </w:p>
        </w:tc>
      </w:tr>
      <w:tr>
        <w:trPr>
          <w:trHeight w:val="19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expenses and other</w:t>
            </w:r>
          </w:p>
        </w:tc>
        <w:tc>
          <w:tcPr>
            <w:tcW w:w="520" w:type="dxa"/>
            <w:vAlign w:val="bottom"/>
            <w:shd w:val="clear" w:color="auto" w:fill="DDDDDD"/>
          </w:tcPr>
          <w:p>
            <w:pPr>
              <w:spacing w:after="0"/>
              <w:rPr>
                <w:sz w:val="16"/>
                <w:szCs w:val="16"/>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157.1</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18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520" w:type="dxa"/>
            <w:vAlign w:val="bottom"/>
            <w:shd w:val="clear" w:color="auto" w:fill="DDDDDD"/>
          </w:tcPr>
          <w:p>
            <w:pPr>
              <w:spacing w:after="0"/>
              <w:rPr>
                <w:sz w:val="16"/>
                <w:szCs w:val="16"/>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35.7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1.7</w:t>
            </w:r>
          </w:p>
        </w:tc>
      </w:tr>
      <w:tr>
        <w:trPr>
          <w:trHeight w:val="432"/>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DDDDD"/>
          </w:tcPr>
          <w:p>
            <w:pPr>
              <w:spacing w:after="0"/>
              <w:rPr>
                <w:sz w:val="24"/>
                <w:szCs w:val="24"/>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expenses and other</w:t>
            </w:r>
          </w:p>
        </w:tc>
        <w:tc>
          <w:tcPr>
            <w:tcW w:w="520" w:type="dxa"/>
            <w:vAlign w:val="bottom"/>
            <w:shd w:val="clear" w:color="auto" w:fill="DDDDDD"/>
          </w:tcPr>
          <w:p>
            <w:pPr>
              <w:spacing w:after="0"/>
              <w:rPr>
                <w:sz w:val="16"/>
                <w:szCs w:val="16"/>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33"/>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expenses and other</w:t>
            </w:r>
          </w:p>
        </w:tc>
        <w:tc>
          <w:tcPr>
            <w:tcW w:w="520" w:type="dxa"/>
            <w:vAlign w:val="bottom"/>
            <w:shd w:val="clear" w:color="auto" w:fill="DDDDDD"/>
          </w:tcPr>
          <w:p>
            <w:pPr>
              <w:spacing w:after="0"/>
              <w:rPr>
                <w:sz w:val="24"/>
                <w:szCs w:val="24"/>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43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DDDDD"/>
          </w:tcPr>
          <w:p>
            <w:pPr>
              <w:spacing w:after="0"/>
              <w:rPr>
                <w:sz w:val="24"/>
                <w:szCs w:val="24"/>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20.5</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8.0</w:t>
            </w: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expenses and other</w:t>
            </w:r>
          </w:p>
        </w:tc>
        <w:tc>
          <w:tcPr>
            <w:tcW w:w="520" w:type="dxa"/>
            <w:vAlign w:val="bottom"/>
            <w:shd w:val="clear" w:color="auto" w:fill="DDDDDD"/>
          </w:tcPr>
          <w:p>
            <w:pPr>
              <w:spacing w:after="0"/>
              <w:rPr>
                <w:sz w:val="16"/>
                <w:szCs w:val="16"/>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2.4</w:t>
            </w:r>
          </w:p>
        </w:tc>
      </w:tr>
    </w:tbl>
    <w:p>
      <w:pPr>
        <w:spacing w:after="0" w:line="240" w:lineRule="exact"/>
        <w:rPr>
          <w:sz w:val="20"/>
          <w:szCs w:val="20"/>
          <w:color w:val="auto"/>
        </w:rPr>
      </w:pPr>
    </w:p>
    <w:p>
      <w:pPr>
        <w:sectPr>
          <w:pgSz w:w="11900" w:h="16838" w:orient="portrait"/>
          <w:cols w:equalWidth="0" w:num="2">
            <w:col w:w="2520" w:space="720"/>
            <w:col w:w="800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4" w:name="page135"/>
    <w:bookmarkEnd w:id="1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2"/>
          <w:szCs w:val="22"/>
          <w:b w:val="1"/>
          <w:bCs w:val="1"/>
          <w:color w:val="578196"/>
        </w:rPr>
      </w:pPr>
      <w:r>
        <w:rPr>
          <w:rFonts w:ascii="Arial" w:cs="Arial" w:eastAsia="Arial" w:hAnsi="Arial"/>
          <w:sz w:val="22"/>
          <w:szCs w:val="22"/>
          <w:b w:val="1"/>
          <w:bCs w:val="1"/>
          <w:color w:val="578196"/>
        </w:rPr>
        <w:t>Property, Plant and Equipment</w:t>
      </w:r>
    </w:p>
    <w:p>
      <w:pPr>
        <w:spacing w:after="0" w:line="116"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Property, plant and equipment are recorded at historical cost, net of accumulated depreciation. Components of property, plant and equipment, net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r>
      <w:tr>
        <w:trPr>
          <w:trHeight w:val="18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119.8</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118.1</w:t>
            </w:r>
          </w:p>
        </w:tc>
      </w:tr>
      <w:tr>
        <w:trPr>
          <w:trHeight w:val="19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Buildings</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1,025.3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835.0</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104.6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99.5</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1,027.8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844.5</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Computer software and hardware</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903.0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798.4</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420" w:type="dxa"/>
            <w:vAlign w:val="bottom"/>
            <w:shd w:val="clear" w:color="auto" w:fill="DDDDDD"/>
          </w:tcPr>
          <w:p>
            <w:pPr>
              <w:spacing w:after="0"/>
              <w:rPr>
                <w:sz w:val="16"/>
                <w:szCs w:val="16"/>
                <w:color w:val="auto"/>
              </w:rPr>
            </w:pP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62.5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58.3</w:t>
            </w:r>
          </w:p>
        </w:tc>
      </w:tr>
      <w:tr>
        <w:trPr>
          <w:trHeight w:val="188"/>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420" w:type="dxa"/>
            <w:vAlign w:val="bottom"/>
            <w:tcBorders>
              <w:bottom w:val="single" w:sz="8" w:color="auto"/>
            </w:tcBorders>
            <w:shd w:val="clear" w:color="auto" w:fill="DDDDDD"/>
          </w:tcPr>
          <w:p>
            <w:pPr>
              <w:spacing w:after="0"/>
              <w:rPr>
                <w:sz w:val="16"/>
                <w:szCs w:val="16"/>
                <w:color w:val="auto"/>
              </w:rPr>
            </w:pPr>
          </w:p>
        </w:tc>
        <w:tc>
          <w:tcPr>
            <w:tcW w:w="14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1,950.8</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2,084.4</w:t>
            </w:r>
          </w:p>
        </w:tc>
      </w:tr>
      <w:tr>
        <w:trPr>
          <w:trHeight w:val="183"/>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cost</w:t>
            </w:r>
          </w:p>
        </w:tc>
        <w:tc>
          <w:tcPr>
            <w:tcW w:w="420" w:type="dxa"/>
            <w:vAlign w:val="bottom"/>
            <w:tcBorders>
              <w:bottom w:val="single" w:sz="8" w:color="auto"/>
            </w:tcBorders>
            <w:shd w:val="clear" w:color="auto" w:fill="DDDDDD"/>
          </w:tcPr>
          <w:p>
            <w:pPr>
              <w:spacing w:after="0"/>
              <w:rPr>
                <w:sz w:val="15"/>
                <w:szCs w:val="15"/>
                <w:color w:val="auto"/>
              </w:rPr>
            </w:pPr>
          </w:p>
        </w:tc>
        <w:tc>
          <w:tcPr>
            <w:tcW w:w="14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5,193.8</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4,838.2</w:t>
            </w:r>
          </w:p>
        </w:tc>
      </w:tr>
      <w:tr>
        <w:trPr>
          <w:trHeight w:val="18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420" w:type="dxa"/>
            <w:vAlign w:val="bottom"/>
            <w:tcBorders>
              <w:bottom w:val="single" w:sz="8" w:color="auto"/>
            </w:tcBorders>
            <w:shd w:val="clear" w:color="auto" w:fill="DDDDDD"/>
          </w:tcPr>
          <w:p>
            <w:pPr>
              <w:spacing w:after="0"/>
              <w:rPr>
                <w:sz w:val="15"/>
                <w:szCs w:val="15"/>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(1,782.3)</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(1,590.9)</w:t>
            </w:r>
          </w:p>
        </w:tc>
      </w:tr>
      <w:tr>
        <w:trPr>
          <w:trHeight w:val="203"/>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property, plant and equipment, net</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3,411.5</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3,247.3</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Depreciation expense totaled $201.9 million, $190.6 million and $269.4 million for the years ended December 31, 2020, 2019 and 2018, respectively.</w:t>
      </w:r>
    </w:p>
    <w:p>
      <w:pPr>
        <w:spacing w:after="0" w:line="144"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For the years ended December 31, 2020, 2019 and 2018, we capitalized interest costs related to construction in progress totaling approximately $65.2 million, $68.8 million and $54.0 million, respectively.</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Solothurn, Switzerland Manufacturing Facility</w:t>
      </w:r>
    </w:p>
    <w:p>
      <w:pPr>
        <w:spacing w:after="0" w:line="12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We expect this facility to be partially operational during the first half of 2021. Upon completion, this facility will include 393,000 square feet related to a large-scale biologics manufacturing facility, 290,000 square feet of warehouse, utilities and support space and 51,000 square feet of administrative space. As of December 31, 2020 and 2019, we had approximately $1.8 billion and $ 1.9 billion, respectively, capitalized as construction in progress related to this facility. For the year ended December 31, 2020, we placed approximately $256.8 million of fixed assets in service related to this facility.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Divestiture of Hillerød, Denmark Manufacturing Operations</w:t>
      </w:r>
    </w:p>
    <w:p>
      <w:pPr>
        <w:spacing w:after="0" w:line="126"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 xml:space="preserve">In August 2019 we completed the sale of all of the outstanding shares of our subsidiary that owned our biologics manufacturing operations in Hillerød, Denmark to FUJIFILM. This transaction included $631.5 million of property, plant and equipment, which was primarily comprised of $312.5 million for buildings and $287.3 million for machinery and equipment. 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132"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22"/>
          <w:szCs w:val="22"/>
          <w:b w:val="1"/>
          <w:bCs w:val="1"/>
          <w:color w:val="578196"/>
        </w:rPr>
      </w:pPr>
      <w:r>
        <w:rPr>
          <w:rFonts w:ascii="Arial" w:cs="Arial" w:eastAsia="Arial" w:hAnsi="Arial"/>
          <w:sz w:val="22"/>
          <w:szCs w:val="22"/>
          <w:b w:val="1"/>
          <w:bCs w:val="1"/>
          <w:color w:val="578196"/>
        </w:rPr>
        <w:t>Leases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lease real estate, including laboratory and office space, and certain equipment.</w:t>
      </w:r>
    </w:p>
    <w:p>
      <w:pPr>
        <w:spacing w:after="0" w:line="171"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Our leases have remaining lease terms ranging from less than one year to ten years. Certain leases include one or more options to renew, exercised at our sole discretion, with renewal terms that can extend the lease term from one year to six years.</w:t>
      </w:r>
    </w:p>
    <w:p>
      <w:pPr>
        <w:spacing w:after="0" w:line="144" w:lineRule="exact"/>
        <w:rPr>
          <w:sz w:val="20"/>
          <w:szCs w:val="20"/>
          <w:color w:val="auto"/>
        </w:rPr>
      </w:pPr>
    </w:p>
    <w:p>
      <w:pPr>
        <w:jc w:val="both"/>
        <w:ind w:right="320" w:firstLine="445"/>
        <w:spacing w:after="0" w:line="256" w:lineRule="auto"/>
        <w:rPr>
          <w:sz w:val="20"/>
          <w:szCs w:val="20"/>
          <w:color w:val="auto"/>
        </w:rPr>
      </w:pPr>
      <w:r>
        <w:rPr>
          <w:rFonts w:ascii="Arial" w:cs="Arial" w:eastAsia="Arial" w:hAnsi="Arial"/>
          <w:sz w:val="18"/>
          <w:szCs w:val="18"/>
          <w:color w:val="auto"/>
        </w:rPr>
        <w:t>In addition, we sublease certain real estate to third parties. Our sublease portfolio consists of operating leases, with remaining lease terms ranging from four years to eight years. Our subleases do not include an option to renew as they are coterminous with our operating leases.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All of our leases qualify as operating leases. The following table summarizes the presentation in our consolidated balance sheets of our operating leases: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1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shd w:val="clear" w:color="auto" w:fill="DDDDDD"/>
          </w:tcPr>
          <w:p>
            <w:pPr>
              <w:spacing w:after="0"/>
              <w:rPr>
                <w:sz w:val="15"/>
                <w:szCs w:val="15"/>
                <w:color w:val="auto"/>
              </w:rPr>
            </w:pPr>
          </w:p>
        </w:tc>
        <w:tc>
          <w:tcPr>
            <w:tcW w:w="1500" w:type="dxa"/>
            <w:vAlign w:val="bottom"/>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jc w:val="right"/>
              <w:ind w:right="748"/>
              <w:spacing w:after="0"/>
              <w:rPr>
                <w:sz w:val="20"/>
                <w:szCs w:val="20"/>
                <w:color w:val="auto"/>
              </w:rPr>
            </w:pPr>
            <w:r>
              <w:rPr>
                <w:rFonts w:ascii="Arial" w:cs="Arial" w:eastAsia="Arial" w:hAnsi="Arial"/>
                <w:sz w:val="14"/>
                <w:szCs w:val="14"/>
                <w:b w:val="1"/>
                <w:bCs w:val="1"/>
                <w:color w:val="auto"/>
              </w:rPr>
              <w:t>2019</w:t>
            </w:r>
          </w:p>
        </w:tc>
      </w:tr>
      <w:tr>
        <w:trPr>
          <w:trHeight w:val="184"/>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Assets:</w:t>
            </w:r>
          </w:p>
        </w:tc>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shd w:val="clear" w:color="auto" w:fill="DDDDDD"/>
          </w:tcPr>
          <w:p>
            <w:pPr>
              <w:spacing w:after="0"/>
              <w:rPr>
                <w:sz w:val="16"/>
                <w:szCs w:val="16"/>
                <w:color w:val="auto"/>
              </w:rPr>
            </w:pPr>
          </w:p>
        </w:tc>
        <w:tc>
          <w:tcPr>
            <w:tcW w:w="1500" w:type="dxa"/>
            <w:vAlign w:val="bottom"/>
            <w:tcBorders>
              <w:top w:val="single" w:sz="8" w:color="auto"/>
            </w:tcBorders>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28"/>
        </w:trPr>
        <w:tc>
          <w:tcPr>
            <w:tcW w:w="3040" w:type="dxa"/>
            <w:vAlign w:val="bottom"/>
          </w:tcPr>
          <w:p>
            <w:pPr>
              <w:ind w:left="140"/>
              <w:spacing w:after="0"/>
              <w:rPr>
                <w:sz w:val="20"/>
                <w:szCs w:val="20"/>
                <w:color w:val="auto"/>
              </w:rPr>
            </w:pPr>
            <w:r>
              <w:rPr>
                <w:rFonts w:ascii="Arial" w:cs="Arial" w:eastAsia="Arial" w:hAnsi="Arial"/>
                <w:sz w:val="14"/>
                <w:szCs w:val="14"/>
                <w:color w:val="auto"/>
              </w:rPr>
              <w:t>Operating lease assets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Operating lease assets</w:t>
            </w:r>
          </w:p>
        </w:tc>
        <w:tc>
          <w:tcPr>
            <w:tcW w:w="4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433.3</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427.0</w:t>
            </w:r>
          </w:p>
        </w:tc>
      </w:tr>
      <w:tr>
        <w:trPr>
          <w:trHeight w:val="412"/>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shd w:val="clear" w:color="auto" w:fill="DDDDDD"/>
          </w:tcPr>
          <w:p>
            <w:pPr>
              <w:spacing w:after="0"/>
              <w:rPr>
                <w:sz w:val="24"/>
                <w:szCs w:val="24"/>
                <w:color w:val="auto"/>
              </w:rPr>
            </w:pPr>
          </w:p>
        </w:tc>
        <w:tc>
          <w:tcPr>
            <w:tcW w:w="1500" w:type="dxa"/>
            <w:vAlign w:val="bottom"/>
            <w:tcBorders>
              <w:top w:val="single" w:sz="8" w:color="auto"/>
            </w:tcBorders>
            <w:shd w:val="clear" w:color="auto" w:fill="DDDDDD"/>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89"/>
        </w:trPr>
        <w:tc>
          <w:tcPr>
            <w:tcW w:w="304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Accrued expenses and other</w:t>
            </w:r>
          </w:p>
        </w:tc>
        <w:tc>
          <w:tcPr>
            <w:tcW w:w="4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83.2</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73.6</w:t>
            </w:r>
          </w:p>
        </w:tc>
      </w:tr>
      <w:tr>
        <w:trPr>
          <w:trHeight w:val="189"/>
        </w:trPr>
        <w:tc>
          <w:tcPr>
            <w:tcW w:w="3040" w:type="dxa"/>
            <w:vAlign w:val="bottom"/>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Long-term operating lease liabilities</w:t>
            </w:r>
          </w:p>
        </w:tc>
        <w:tc>
          <w:tcPr>
            <w:tcW w:w="460" w:type="dxa"/>
            <w:vAlign w:val="bottom"/>
            <w:tcBorders>
              <w:bottom w:val="single" w:sz="8" w:color="auto"/>
            </w:tcBorders>
            <w:shd w:val="clear" w:color="auto" w:fill="DDDDDD"/>
          </w:tcPr>
          <w:p>
            <w:pPr>
              <w:spacing w:after="0"/>
              <w:rPr>
                <w:sz w:val="16"/>
                <w:szCs w:val="16"/>
                <w:color w:val="auto"/>
              </w:rPr>
            </w:pPr>
          </w:p>
        </w:tc>
        <w:tc>
          <w:tcPr>
            <w:tcW w:w="15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ACB"/>
              </w:rPr>
              <w:t>402.0</w:t>
            </w: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w:t>
            </w:r>
          </w:p>
        </w:tc>
      </w:tr>
      <w:tr>
        <w:trPr>
          <w:trHeight w:val="202"/>
        </w:trPr>
        <w:tc>
          <w:tcPr>
            <w:tcW w:w="304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485.2</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486.3</w:t>
            </w:r>
          </w:p>
        </w:tc>
      </w:tr>
      <w:tr>
        <w:trPr>
          <w:trHeight w:val="20"/>
        </w:trPr>
        <w:tc>
          <w:tcPr>
            <w:tcW w:w="3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effect of lease costs in our consolidated statements of income:</w:t>
      </w:r>
    </w:p>
    <w:p>
      <w:pPr>
        <w:sectPr>
          <w:pgSz w:w="11900" w:h="16838" w:orient="portrait"/>
          <w:cols w:equalWidth="0" w:num="1">
            <w:col w:w="11240"/>
          </w:cols>
          <w:pgMar w:left="320" w:top="144" w:right="339" w:bottom="1440" w:gutter="0" w:footer="0" w:header="0"/>
        </w:sect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6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Income Statement Location</w:t>
            </w:r>
          </w:p>
        </w:tc>
      </w:tr>
      <w:tr>
        <w:trPr>
          <w:trHeight w:val="184"/>
        </w:trPr>
        <w:tc>
          <w:tcPr>
            <w:tcW w:w="244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4640" w:type="dxa"/>
            <w:vAlign w:val="bottom"/>
          </w:tcPr>
          <w:p>
            <w:pPr>
              <w:ind w:left="1100"/>
              <w:spacing w:after="0"/>
              <w:rPr>
                <w:sz w:val="20"/>
                <w:szCs w:val="20"/>
                <w:color w:val="auto"/>
              </w:rPr>
            </w:pPr>
            <w:r>
              <w:rPr>
                <w:rFonts w:ascii="Arial" w:cs="Arial" w:eastAsia="Arial" w:hAnsi="Arial"/>
                <w:sz w:val="14"/>
                <w:szCs w:val="14"/>
                <w:color w:val="auto"/>
              </w:rPr>
              <w:t>Research and development</w:t>
            </w:r>
          </w:p>
        </w:tc>
      </w:tr>
      <w:tr>
        <w:trPr>
          <w:trHeight w:val="189"/>
        </w:trPr>
        <w:tc>
          <w:tcPr>
            <w:tcW w:w="2440" w:type="dxa"/>
            <w:vAlign w:val="bottom"/>
          </w:tcPr>
          <w:p>
            <w:pPr>
              <w:spacing w:after="0"/>
              <w:rPr>
                <w:sz w:val="16"/>
                <w:szCs w:val="16"/>
                <w:color w:val="auto"/>
              </w:rPr>
            </w:pPr>
          </w:p>
        </w:tc>
        <w:tc>
          <w:tcPr>
            <w:tcW w:w="4640" w:type="dxa"/>
            <w:vAlign w:val="bottom"/>
          </w:tcPr>
          <w:p>
            <w:pPr>
              <w:ind w:left="1100"/>
              <w:spacing w:after="0"/>
              <w:rPr>
                <w:sz w:val="20"/>
                <w:szCs w:val="20"/>
                <w:color w:val="auto"/>
              </w:rPr>
            </w:pPr>
            <w:r>
              <w:rPr>
                <w:rFonts w:ascii="Arial" w:cs="Arial" w:eastAsia="Arial" w:hAnsi="Arial"/>
                <w:sz w:val="14"/>
                <w:szCs w:val="14"/>
                <w:color w:val="auto"/>
              </w:rPr>
              <w:t>Selling, general and administrative</w:t>
            </w: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4640" w:type="dxa"/>
            <w:vAlign w:val="bottom"/>
          </w:tcPr>
          <w:p>
            <w:pPr>
              <w:ind w:left="1100"/>
              <w:spacing w:after="0"/>
              <w:rPr>
                <w:sz w:val="20"/>
                <w:szCs w:val="20"/>
                <w:color w:val="auto"/>
              </w:rPr>
            </w:pPr>
            <w:r>
              <w:rPr>
                <w:rFonts w:ascii="Arial" w:cs="Arial" w:eastAsia="Arial" w:hAnsi="Arial"/>
                <w:sz w:val="14"/>
                <w:szCs w:val="14"/>
                <w:color w:val="auto"/>
              </w:rPr>
              <w:t>Research and development</w:t>
            </w:r>
          </w:p>
        </w:tc>
      </w:tr>
      <w:tr>
        <w:trPr>
          <w:trHeight w:val="189"/>
        </w:trPr>
        <w:tc>
          <w:tcPr>
            <w:tcW w:w="2440" w:type="dxa"/>
            <w:vAlign w:val="bottom"/>
          </w:tcPr>
          <w:p>
            <w:pPr>
              <w:spacing w:after="0"/>
              <w:rPr>
                <w:sz w:val="16"/>
                <w:szCs w:val="16"/>
                <w:color w:val="auto"/>
              </w:rPr>
            </w:pPr>
          </w:p>
        </w:tc>
        <w:tc>
          <w:tcPr>
            <w:tcW w:w="4640" w:type="dxa"/>
            <w:vAlign w:val="bottom"/>
          </w:tcPr>
          <w:p>
            <w:pPr>
              <w:ind w:left="1100"/>
              <w:spacing w:after="0"/>
              <w:rPr>
                <w:sz w:val="20"/>
                <w:szCs w:val="20"/>
                <w:color w:val="auto"/>
              </w:rPr>
            </w:pPr>
            <w:r>
              <w:rPr>
                <w:rFonts w:ascii="Arial" w:cs="Arial" w:eastAsia="Arial" w:hAnsi="Arial"/>
                <w:sz w:val="14"/>
                <w:szCs w:val="14"/>
                <w:color w:val="auto"/>
              </w:rPr>
              <w:t>Selling, general and administrative</w:t>
            </w: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4640" w:type="dxa"/>
            <w:vAlign w:val="bottom"/>
          </w:tcPr>
          <w:p>
            <w:pPr>
              <w:ind w:left="1100"/>
              <w:spacing w:after="0"/>
              <w:rPr>
                <w:sz w:val="20"/>
                <w:szCs w:val="20"/>
                <w:color w:val="auto"/>
              </w:rPr>
            </w:pPr>
            <w:r>
              <w:rPr>
                <w:rFonts w:ascii="Arial" w:cs="Arial" w:eastAsia="Arial" w:hAnsi="Arial"/>
                <w:sz w:val="14"/>
                <w:szCs w:val="14"/>
                <w:color w:val="auto"/>
              </w:rPr>
              <w:t>Selling, general and administrative</w:t>
            </w:r>
          </w:p>
        </w:tc>
      </w:tr>
      <w:tr>
        <w:trPr>
          <w:trHeight w:val="189"/>
        </w:trPr>
        <w:tc>
          <w:tcPr>
            <w:tcW w:w="2440" w:type="dxa"/>
            <w:vAlign w:val="bottom"/>
          </w:tcPr>
          <w:p>
            <w:pPr>
              <w:spacing w:after="0"/>
              <w:rPr>
                <w:sz w:val="16"/>
                <w:szCs w:val="16"/>
                <w:color w:val="auto"/>
              </w:rPr>
            </w:pPr>
          </w:p>
        </w:tc>
        <w:tc>
          <w:tcPr>
            <w:tcW w:w="4640" w:type="dxa"/>
            <w:vAlign w:val="bottom"/>
          </w:tcPr>
          <w:p>
            <w:pPr>
              <w:ind w:left="1100"/>
              <w:spacing w:after="0"/>
              <w:rPr>
                <w:sz w:val="20"/>
                <w:szCs w:val="20"/>
                <w:color w:val="auto"/>
              </w:rPr>
            </w:pPr>
            <w:r>
              <w:rPr>
                <w:rFonts w:ascii="Arial" w:cs="Arial" w:eastAsia="Arial" w:hAnsi="Arial"/>
                <w:sz w:val="14"/>
                <w:szCs w:val="14"/>
                <w:color w:val="auto"/>
              </w:rPr>
              <w:t>Other (income) expense, net</w:t>
            </w:r>
          </w:p>
        </w:tc>
      </w:tr>
      <w:tr>
        <w:trPr>
          <w:trHeight w:val="189"/>
        </w:trPr>
        <w:tc>
          <w:tcPr>
            <w:tcW w:w="2440" w:type="dxa"/>
            <w:vAlign w:val="bottom"/>
          </w:tcPr>
          <w:p>
            <w:pPr>
              <w:ind w:left="140"/>
              <w:spacing w:after="0"/>
              <w:rPr>
                <w:sz w:val="20"/>
                <w:szCs w:val="20"/>
                <w:color w:val="auto"/>
              </w:rPr>
            </w:pPr>
            <w:r>
              <w:rPr>
                <w:rFonts w:ascii="Arial" w:cs="Arial" w:eastAsia="Arial" w:hAnsi="Arial"/>
                <w:sz w:val="14"/>
                <w:szCs w:val="14"/>
                <w:color w:val="auto"/>
              </w:rPr>
              <w:t>Net lease cost</w:t>
            </w:r>
          </w:p>
        </w:tc>
        <w:tc>
          <w:tcPr>
            <w:tcW w:w="4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tcBorders>
              <w:top w:val="single" w:sz="8" w:color="auto"/>
              <w:bottom w:val="single" w:sz="8" w:color="auto"/>
            </w:tcBorders>
            <w:shd w:val="clear" w:color="auto" w:fill="DDDDDD"/>
          </w:tcPr>
          <w:p>
            <w:pPr>
              <w:spacing w:after="0"/>
              <w:rPr>
                <w:sz w:val="15"/>
                <w:szCs w:val="15"/>
                <w:color w:val="auto"/>
              </w:rPr>
            </w:pPr>
          </w:p>
        </w:tc>
        <w:tc>
          <w:tcPr>
            <w:tcW w:w="1500" w:type="dxa"/>
            <w:vAlign w:val="bottom"/>
            <w:tcBorders>
              <w:top w:val="single" w:sz="8" w:color="auto"/>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ACB"/>
              </w:rPr>
              <w:t>2020</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2019</w:t>
            </w:r>
          </w:p>
        </w:tc>
      </w:tr>
      <w:tr>
        <w:trPr>
          <w:trHeight w:val="183"/>
        </w:trPr>
        <w:tc>
          <w:tcPr>
            <w:tcW w:w="4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5.2</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6.7</w:t>
            </w:r>
          </w:p>
        </w:tc>
      </w:tr>
      <w:tr>
        <w:trPr>
          <w:trHeight w:val="190"/>
        </w:trPr>
        <w:tc>
          <w:tcPr>
            <w:tcW w:w="46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93.1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84.6</w:t>
            </w:r>
          </w:p>
        </w:tc>
      </w:tr>
      <w:tr>
        <w:trPr>
          <w:trHeight w:val="189"/>
        </w:trPr>
        <w:tc>
          <w:tcPr>
            <w:tcW w:w="46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189"/>
        </w:trPr>
        <w:tc>
          <w:tcPr>
            <w:tcW w:w="46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23.7</w:t>
            </w:r>
          </w:p>
        </w:tc>
      </w:tr>
      <w:tr>
        <w:trPr>
          <w:trHeight w:val="189"/>
        </w:trPr>
        <w:tc>
          <w:tcPr>
            <w:tcW w:w="460" w:type="dxa"/>
            <w:vAlign w:val="bottom"/>
            <w:shd w:val="clear" w:color="auto" w:fill="DDDDDD"/>
          </w:tcPr>
          <w:p>
            <w:pPr>
              <w:spacing w:after="0"/>
              <w:rPr>
                <w:sz w:val="16"/>
                <w:szCs w:val="16"/>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(24.2)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188"/>
        </w:trPr>
        <w:tc>
          <w:tcPr>
            <w:tcW w:w="460" w:type="dxa"/>
            <w:vAlign w:val="bottom"/>
            <w:tcBorders>
              <w:bottom w:val="single" w:sz="8" w:color="auto"/>
            </w:tcBorders>
            <w:shd w:val="clear" w:color="auto" w:fill="DDDDDD"/>
          </w:tcPr>
          <w:p>
            <w:pPr>
              <w:spacing w:after="0"/>
              <w:rPr>
                <w:sz w:val="16"/>
                <w:szCs w:val="16"/>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(3.9)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4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92.4</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86.7</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7080" w:space="100"/>
            <w:col w:w="4060"/>
          </w:cols>
          <w:pgMar w:left="320" w:top="144" w:right="339" w:bottom="1440" w:gutter="0" w:footer="0" w:header="0"/>
          <w:type w:val="continuous"/>
        </w:sectPr>
      </w:pPr>
    </w:p>
    <w:p>
      <w:pPr>
        <w:ind w:right="180" w:firstLine="445"/>
        <w:spacing w:after="0" w:line="261" w:lineRule="auto"/>
        <w:rPr>
          <w:sz w:val="20"/>
          <w:szCs w:val="20"/>
          <w:color w:val="auto"/>
        </w:rPr>
      </w:pPr>
      <w:r>
        <w:rPr>
          <w:rFonts w:ascii="Arial" w:cs="Arial" w:eastAsia="Arial" w:hAnsi="Arial"/>
          <w:sz w:val="18"/>
          <w:szCs w:val="18"/>
          <w:color w:val="auto"/>
        </w:rPr>
        <w:t>Variable lease cost primarily related to operating expenses, taxes and insurance associated with our operating leases. As these costs are generally variable in nature, they are not included in the measurement of the operating lease asset and related lease liability.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lease payments for the next five years and thereafter is expected to be as follows:</w:t>
      </w:r>
    </w:p>
    <w:p>
      <w:pPr>
        <w:sectPr>
          <w:pgSz w:w="11900" w:h="16838" w:orient="portrait"/>
          <w:cols w:equalWidth="0" w:num="1">
            <w:col w:w="11240"/>
          </w:cols>
          <w:pgMar w:left="320" w:top="144" w:right="339" w:bottom="1440" w:gutter="0" w:footer="0" w:header="0"/>
          <w:type w:val="continuous"/>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3492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lease payments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4"/>
        </w:trPr>
        <w:tc>
          <w:tcPr>
            <w:tcW w:w="320" w:type="dxa"/>
            <w:vAlign w:val="bottom"/>
            <w:tcBorders>
              <w:bottom w:val="single" w:sz="8" w:color="auto"/>
            </w:tcBorders>
            <w:shd w:val="clear" w:color="auto" w:fill="DDDDDD"/>
          </w:tcPr>
          <w:p>
            <w:pPr>
              <w:spacing w:after="0"/>
              <w:rPr>
                <w:sz w:val="24"/>
                <w:szCs w:val="24"/>
                <w:color w:val="auto"/>
              </w:rPr>
            </w:pPr>
          </w:p>
        </w:tc>
        <w:tc>
          <w:tcPr>
            <w:tcW w:w="240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As of December 31, 2020</w:t>
            </w:r>
          </w:p>
        </w:tc>
      </w:tr>
      <w:tr>
        <w:trPr>
          <w:trHeight w:val="183"/>
        </w:trPr>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95.8</w:t>
            </w:r>
          </w:p>
        </w:tc>
      </w:tr>
      <w:tr>
        <w:trPr>
          <w:trHeight w:val="190"/>
        </w:trPr>
        <w:tc>
          <w:tcPr>
            <w:tcW w:w="320" w:type="dxa"/>
            <w:vAlign w:val="bottom"/>
            <w:shd w:val="clear" w:color="auto" w:fill="DDDDDD"/>
          </w:tcPr>
          <w:p>
            <w:pPr>
              <w:spacing w:after="0"/>
              <w:rPr>
                <w:sz w:val="16"/>
                <w:szCs w:val="16"/>
                <w:color w:val="auto"/>
              </w:rPr>
            </w:pPr>
          </w:p>
        </w:tc>
        <w:tc>
          <w:tcPr>
            <w:tcW w:w="24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93.5</w:t>
            </w:r>
          </w:p>
        </w:tc>
      </w:tr>
      <w:tr>
        <w:trPr>
          <w:trHeight w:val="189"/>
        </w:trPr>
        <w:tc>
          <w:tcPr>
            <w:tcW w:w="320" w:type="dxa"/>
            <w:vAlign w:val="bottom"/>
            <w:shd w:val="clear" w:color="auto" w:fill="DDDDDD"/>
          </w:tcPr>
          <w:p>
            <w:pPr>
              <w:spacing w:after="0"/>
              <w:rPr>
                <w:sz w:val="16"/>
                <w:szCs w:val="16"/>
                <w:color w:val="auto"/>
              </w:rPr>
            </w:pPr>
          </w:p>
        </w:tc>
        <w:tc>
          <w:tcPr>
            <w:tcW w:w="24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82.0</w:t>
            </w:r>
          </w:p>
        </w:tc>
      </w:tr>
      <w:tr>
        <w:trPr>
          <w:trHeight w:val="189"/>
        </w:trPr>
        <w:tc>
          <w:tcPr>
            <w:tcW w:w="320" w:type="dxa"/>
            <w:vAlign w:val="bottom"/>
            <w:shd w:val="clear" w:color="auto" w:fill="DDDDDD"/>
          </w:tcPr>
          <w:p>
            <w:pPr>
              <w:spacing w:after="0"/>
              <w:rPr>
                <w:sz w:val="16"/>
                <w:szCs w:val="16"/>
                <w:color w:val="auto"/>
              </w:rPr>
            </w:pPr>
          </w:p>
        </w:tc>
        <w:tc>
          <w:tcPr>
            <w:tcW w:w="24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75.0</w:t>
            </w:r>
          </w:p>
        </w:tc>
      </w:tr>
      <w:tr>
        <w:trPr>
          <w:trHeight w:val="189"/>
        </w:trPr>
        <w:tc>
          <w:tcPr>
            <w:tcW w:w="320" w:type="dxa"/>
            <w:vAlign w:val="bottom"/>
            <w:shd w:val="clear" w:color="auto" w:fill="DDDDDD"/>
          </w:tcPr>
          <w:p>
            <w:pPr>
              <w:spacing w:after="0"/>
              <w:rPr>
                <w:sz w:val="16"/>
                <w:szCs w:val="16"/>
                <w:color w:val="auto"/>
              </w:rPr>
            </w:pPr>
          </w:p>
        </w:tc>
        <w:tc>
          <w:tcPr>
            <w:tcW w:w="24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56.9</w:t>
            </w:r>
          </w:p>
        </w:tc>
      </w:tr>
      <w:tr>
        <w:trPr>
          <w:trHeight w:val="187"/>
        </w:trPr>
        <w:tc>
          <w:tcPr>
            <w:tcW w:w="320" w:type="dxa"/>
            <w:vAlign w:val="bottom"/>
            <w:tcBorders>
              <w:bottom w:val="single" w:sz="8" w:color="auto"/>
            </w:tcBorders>
            <w:shd w:val="clear" w:color="auto" w:fill="DDDDDD"/>
          </w:tcPr>
          <w:p>
            <w:pPr>
              <w:spacing w:after="0"/>
              <w:rPr>
                <w:sz w:val="16"/>
                <w:szCs w:val="16"/>
                <w:color w:val="auto"/>
              </w:rPr>
            </w:pPr>
          </w:p>
        </w:tc>
        <w:tc>
          <w:tcPr>
            <w:tcW w:w="2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129.8</w:t>
            </w:r>
          </w:p>
        </w:tc>
      </w:tr>
      <w:tr>
        <w:trPr>
          <w:trHeight w:val="184"/>
        </w:trPr>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533.0</w:t>
            </w:r>
          </w:p>
        </w:tc>
      </w:tr>
      <w:tr>
        <w:trPr>
          <w:trHeight w:val="188"/>
        </w:trPr>
        <w:tc>
          <w:tcPr>
            <w:tcW w:w="320" w:type="dxa"/>
            <w:vAlign w:val="bottom"/>
            <w:tcBorders>
              <w:bottom w:val="single" w:sz="8" w:color="auto"/>
            </w:tcBorders>
            <w:shd w:val="clear" w:color="auto" w:fill="DDDDDD"/>
          </w:tcPr>
          <w:p>
            <w:pPr>
              <w:spacing w:after="0"/>
              <w:rPr>
                <w:sz w:val="16"/>
                <w:szCs w:val="16"/>
                <w:color w:val="auto"/>
              </w:rPr>
            </w:pPr>
          </w:p>
        </w:tc>
        <w:tc>
          <w:tcPr>
            <w:tcW w:w="2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47.8</w:t>
            </w:r>
          </w:p>
        </w:tc>
      </w:tr>
      <w:tr>
        <w:trPr>
          <w:trHeight w:val="208"/>
        </w:trPr>
        <w:tc>
          <w:tcPr>
            <w:tcW w:w="3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ACB"/>
              </w:rPr>
              <w:t>485.2</w:t>
            </w:r>
          </w:p>
        </w:tc>
      </w:tr>
      <w:tr>
        <w:trPr>
          <w:trHeight w:val="20"/>
        </w:trPr>
        <w:tc>
          <w:tcPr>
            <w:tcW w:w="320" w:type="dxa"/>
            <w:vAlign w:val="bottom"/>
            <w:tcBorders>
              <w:top w:val="single" w:sz="8" w:color="DDDDDD"/>
              <w:bottom w:val="single" w:sz="8" w:color="auto"/>
            </w:tcBorders>
          </w:tcPr>
          <w:p>
            <w:pPr>
              <w:spacing w:after="0" w:line="20" w:lineRule="exact"/>
              <w:rPr>
                <w:sz w:val="1"/>
                <w:szCs w:val="1"/>
                <w:color w:val="auto"/>
              </w:rPr>
            </w:pPr>
          </w:p>
        </w:tc>
        <w:tc>
          <w:tcPr>
            <w:tcW w:w="2400" w:type="dxa"/>
            <w:vAlign w:val="bottom"/>
            <w:tcBorders>
              <w:top w:val="single" w:sz="8" w:color="DDDDDD"/>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7800" w:space="720"/>
            <w:col w:w="2720"/>
          </w:cols>
          <w:pgMar w:left="320" w:top="144" w:right="33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37"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ACB"/>
              </w:rPr>
              <w:t>2020</w:t>
            </w:r>
          </w:p>
        </w:tc>
        <w:tc>
          <w:tcPr>
            <w:tcW w:w="640" w:type="dxa"/>
            <w:vAlign w:val="bottom"/>
            <w:tcBorders>
              <w:top w:val="single" w:sz="8" w:color="auto"/>
              <w:bottom w:val="single" w:sz="8" w:color="auto"/>
            </w:tcBorders>
            <w:shd w:val="clear" w:color="auto" w:fill="DDDDDD"/>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2019</w:t>
            </w:r>
          </w:p>
        </w:tc>
      </w:tr>
      <w:tr>
        <w:trPr>
          <w:trHeight w:val="184"/>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420" w:type="dxa"/>
            <w:vAlign w:val="bottom"/>
            <w:shd w:val="clear" w:color="auto" w:fill="DDDDDD"/>
          </w:tcPr>
          <w:p>
            <w:pPr>
              <w:spacing w:after="0"/>
              <w:rPr>
                <w:sz w:val="16"/>
                <w:szCs w:val="16"/>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6.30</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7.07</w:t>
            </w:r>
          </w:p>
        </w:tc>
      </w:tr>
      <w:tr>
        <w:trPr>
          <w:trHeight w:val="188"/>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1420" w:type="dxa"/>
            <w:vAlign w:val="bottom"/>
            <w:shd w:val="clear" w:color="auto" w:fill="DDDDDD"/>
          </w:tcPr>
          <w:p>
            <w:pPr>
              <w:spacing w:after="0"/>
              <w:rPr>
                <w:sz w:val="16"/>
                <w:szCs w:val="16"/>
                <w:color w:val="auto"/>
              </w:rPr>
            </w:pPr>
          </w:p>
        </w:tc>
        <w:tc>
          <w:tcPr>
            <w:tcW w:w="6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2.9 %</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3.2 %</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6" w:name="page137"/>
    <w:bookmarkEnd w:id="1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flows provided by operating activities in our consolidated statements of cash flows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Borders>
              <w:bottom w:val="single" w:sz="8" w:color="auto"/>
            </w:tcBorders>
            <w:shd w:val="clear" w:color="auto" w:fill="DDDDDD"/>
          </w:tcPr>
          <w:p>
            <w:pPr>
              <w:spacing w:after="0"/>
              <w:rPr>
                <w:sz w:val="15"/>
                <w:szCs w:val="15"/>
                <w:color w:val="auto"/>
              </w:rPr>
            </w:pPr>
          </w:p>
        </w:tc>
        <w:tc>
          <w:tcPr>
            <w:tcW w:w="1520" w:type="dxa"/>
            <w:vAlign w:val="bottom"/>
            <w:tcBorders>
              <w:bottom w:val="single" w:sz="8" w:color="auto"/>
            </w:tcBorders>
            <w:shd w:val="clear" w:color="auto" w:fill="DDDDDD"/>
          </w:tcPr>
          <w:p>
            <w:pPr>
              <w:jc w:val="right"/>
              <w:ind w:right="768"/>
              <w:spacing w:after="0"/>
              <w:rPr>
                <w:sz w:val="20"/>
                <w:szCs w:val="20"/>
                <w:color w:val="auto"/>
              </w:rPr>
            </w:pPr>
            <w:r>
              <w:rPr>
                <w:rFonts w:ascii="Arial" w:cs="Arial" w:eastAsia="Arial" w:hAnsi="Arial"/>
                <w:sz w:val="14"/>
                <w:szCs w:val="14"/>
                <w:b w:val="1"/>
                <w:bCs w:val="1"/>
                <w:color w:val="257ACB"/>
              </w:rPr>
              <w:t>2020</w:t>
            </w: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r>
      <w:tr>
        <w:trPr>
          <w:trHeight w:val="183"/>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460" w:type="dxa"/>
            <w:vAlign w:val="bottom"/>
            <w:shd w:val="clear" w:color="auto" w:fill="DDDDDD"/>
          </w:tcPr>
          <w:p>
            <w:pPr>
              <w:jc w:val="right"/>
              <w:ind w:right="288"/>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100.2</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93.8</w:t>
            </w:r>
          </w:p>
        </w:tc>
      </w:tr>
      <w:tr>
        <w:trPr>
          <w:trHeight w:val="189"/>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Operating lease assets obtained in exchange for lease obligations</w:t>
            </w:r>
          </w:p>
        </w:tc>
        <w:tc>
          <w:tcPr>
            <w:tcW w:w="460" w:type="dxa"/>
            <w:vAlign w:val="bottom"/>
            <w:shd w:val="clear" w:color="auto" w:fill="DDDDDD"/>
          </w:tcPr>
          <w:p>
            <w:pPr>
              <w:spacing w:after="0"/>
              <w:rPr>
                <w:sz w:val="16"/>
                <w:szCs w:val="16"/>
                <w:color w:val="auto"/>
              </w:rPr>
            </w:pPr>
          </w:p>
        </w:tc>
        <w:tc>
          <w:tcPr>
            <w:tcW w:w="15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59.0</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35.9</w:t>
            </w:r>
          </w:p>
        </w:tc>
      </w:tr>
    </w:tbl>
    <w:p>
      <w:pPr>
        <w:spacing w:after="0" w:line="143" w:lineRule="exact"/>
        <w:rPr>
          <w:sz w:val="20"/>
          <w:szCs w:val="20"/>
          <w:color w:val="auto"/>
        </w:rPr>
      </w:pPr>
    </w:p>
    <w:p>
      <w:pPr>
        <w:ind w:left="600" w:hanging="592"/>
        <w:spacing w:after="0"/>
        <w:tabs>
          <w:tab w:leader="none" w:pos="600" w:val="left"/>
        </w:tabs>
        <w:numPr>
          <w:ilvl w:val="0"/>
          <w:numId w:val="106"/>
        </w:numPr>
        <w:rPr>
          <w:rFonts w:ascii="Arial" w:cs="Arial" w:eastAsia="Arial" w:hAnsi="Arial"/>
          <w:sz w:val="22"/>
          <w:szCs w:val="22"/>
          <w:b w:val="1"/>
          <w:bCs w:val="1"/>
          <w:color w:val="578196"/>
        </w:rPr>
      </w:pPr>
      <w:r>
        <w:rPr>
          <w:rFonts w:ascii="Arial" w:cs="Arial" w:eastAsia="Arial" w:hAnsi="Arial"/>
          <w:sz w:val="22"/>
          <w:szCs w:val="22"/>
          <w:b w:val="1"/>
          <w:bCs w:val="1"/>
          <w:color w:val="578196"/>
        </w:rPr>
        <w:t>Indebtedness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indebtedness is summarized as follows:</w:t>
      </w:r>
    </w:p>
    <w:p>
      <w:pPr>
        <w:spacing w:after="0" w:line="11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17780</wp:posOffset>
            </wp:positionV>
            <wp:extent cx="25717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86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2020</w:t>
            </w:r>
          </w:p>
        </w:tc>
      </w:tr>
      <w:tr>
        <w:trPr>
          <w:trHeight w:val="183"/>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Current portion:</w:t>
            </w:r>
          </w:p>
        </w:tc>
        <w:tc>
          <w:tcPr>
            <w:tcW w:w="120" w:type="dxa"/>
            <w:vAlign w:val="bottom"/>
            <w:shd w:val="clear" w:color="auto" w:fill="DDDDDD"/>
          </w:tcPr>
          <w:p>
            <w:pPr>
              <w:spacing w:after="0"/>
              <w:rPr>
                <w:sz w:val="15"/>
                <w:szCs w:val="15"/>
                <w:color w:val="auto"/>
              </w:rPr>
            </w:pPr>
          </w:p>
        </w:tc>
        <w:tc>
          <w:tcPr>
            <w:tcW w:w="1860" w:type="dxa"/>
            <w:vAlign w:val="bottom"/>
            <w:shd w:val="clear" w:color="auto" w:fill="DDDDDD"/>
          </w:tcPr>
          <w:p>
            <w:pPr>
              <w:spacing w:after="0"/>
              <w:rPr>
                <w:sz w:val="15"/>
                <w:szCs w:val="15"/>
                <w:color w:val="auto"/>
              </w:rPr>
            </w:pP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2.900%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2020</w:t>
            </w:r>
            <w:r>
              <w:rPr>
                <w:rFonts w:ascii="Arial" w:cs="Arial" w:eastAsia="Arial" w:hAnsi="Arial"/>
                <w:sz w:val="9"/>
                <w:szCs w:val="9"/>
                <w:color w:val="auto"/>
              </w:rPr>
              <w:t>(1)</w:t>
            </w: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223"/>
        </w:trPr>
        <w:tc>
          <w:tcPr>
            <w:tcW w:w="7180" w:type="dxa"/>
            <w:vAlign w:val="bottom"/>
            <w:gridSpan w:val="3"/>
          </w:tcPr>
          <w:p>
            <w:pPr>
              <w:ind w:left="360"/>
              <w:spacing w:after="0"/>
              <w:rPr>
                <w:sz w:val="20"/>
                <w:szCs w:val="20"/>
                <w:color w:val="auto"/>
              </w:rPr>
            </w:pPr>
            <w:r>
              <w:rPr>
                <w:rFonts w:ascii="Arial" w:cs="Arial" w:eastAsia="Arial" w:hAnsi="Arial"/>
                <w:sz w:val="14"/>
                <w:szCs w:val="14"/>
                <w:color w:val="auto"/>
              </w:rPr>
              <w:t>Current portion of notes payable</w:t>
            </w: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156"/>
        </w:trPr>
        <w:tc>
          <w:tcPr>
            <w:tcW w:w="7180" w:type="dxa"/>
            <w:vAlign w:val="bottom"/>
            <w:gridSpan w:val="3"/>
          </w:tcPr>
          <w:p>
            <w:pPr>
              <w:ind w:left="20"/>
              <w:spacing w:after="0" w:line="155" w:lineRule="exact"/>
              <w:rPr>
                <w:sz w:val="20"/>
                <w:szCs w:val="20"/>
                <w:color w:val="auto"/>
              </w:rPr>
            </w:pPr>
            <w:r>
              <w:rPr>
                <w:rFonts w:ascii="Arial" w:cs="Arial" w:eastAsia="Arial" w:hAnsi="Arial"/>
                <w:sz w:val="14"/>
                <w:szCs w:val="14"/>
                <w:i w:val="1"/>
                <w:iCs w:val="1"/>
                <w:color w:val="auto"/>
              </w:rPr>
              <w:t>Non-current portion:</w:t>
            </w:r>
          </w:p>
        </w:tc>
        <w:tc>
          <w:tcPr>
            <w:tcW w:w="120" w:type="dxa"/>
            <w:vAlign w:val="bottom"/>
            <w:shd w:val="clear" w:color="auto" w:fill="DDDDDD"/>
          </w:tcPr>
          <w:p>
            <w:pPr>
              <w:spacing w:after="0"/>
              <w:rPr>
                <w:sz w:val="13"/>
                <w:szCs w:val="13"/>
                <w:color w:val="auto"/>
              </w:rPr>
            </w:pPr>
          </w:p>
        </w:tc>
        <w:tc>
          <w:tcPr>
            <w:tcW w:w="1860" w:type="dxa"/>
            <w:vAlign w:val="bottom"/>
            <w:shd w:val="clear" w:color="auto" w:fill="DDDDDD"/>
          </w:tcPr>
          <w:p>
            <w:pPr>
              <w:spacing w:after="0"/>
              <w:rPr>
                <w:sz w:val="13"/>
                <w:szCs w:val="13"/>
                <w:color w:val="auto"/>
              </w:rPr>
            </w:pP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3.625%</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2022</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997.9</w:t>
            </w:r>
          </w:p>
        </w:tc>
      </w:tr>
      <w:tr>
        <w:trPr>
          <w:trHeight w:val="190"/>
        </w:trPr>
        <w:tc>
          <w:tcPr>
            <w:tcW w:w="740" w:type="dxa"/>
            <w:vAlign w:val="bottom"/>
          </w:tcPr>
          <w:p>
            <w:pPr>
              <w:jc w:val="right"/>
              <w:spacing w:after="0"/>
              <w:rPr>
                <w:sz w:val="20"/>
                <w:szCs w:val="20"/>
                <w:color w:val="auto"/>
              </w:rPr>
            </w:pPr>
            <w:r>
              <w:rPr>
                <w:rFonts w:ascii="Arial" w:cs="Arial" w:eastAsia="Arial" w:hAnsi="Arial"/>
                <w:sz w:val="14"/>
                <w:szCs w:val="14"/>
                <w:color w:val="auto"/>
              </w:rPr>
              <w:t>4.050%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120" w:type="dxa"/>
            <w:vAlign w:val="bottom"/>
            <w:shd w:val="clear" w:color="auto" w:fill="DDDDDD"/>
          </w:tcPr>
          <w:p>
            <w:pPr>
              <w:spacing w:after="0"/>
              <w:rPr>
                <w:sz w:val="16"/>
                <w:szCs w:val="16"/>
                <w:color w:val="auto"/>
              </w:rPr>
            </w:pPr>
          </w:p>
        </w:tc>
        <w:tc>
          <w:tcPr>
            <w:tcW w:w="18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1,741.2</w:t>
            </w: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2.250%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120" w:type="dxa"/>
            <w:vAlign w:val="bottom"/>
            <w:shd w:val="clear" w:color="auto" w:fill="DDDDDD"/>
          </w:tcPr>
          <w:p>
            <w:pPr>
              <w:spacing w:after="0"/>
              <w:rPr>
                <w:sz w:val="16"/>
                <w:szCs w:val="16"/>
                <w:color w:val="auto"/>
              </w:rPr>
            </w:pPr>
          </w:p>
        </w:tc>
        <w:tc>
          <w:tcPr>
            <w:tcW w:w="18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1,491.1</w:t>
            </w: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5.200%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120" w:type="dxa"/>
            <w:vAlign w:val="bottom"/>
            <w:shd w:val="clear" w:color="auto" w:fill="DDDDDD"/>
          </w:tcPr>
          <w:p>
            <w:pPr>
              <w:spacing w:after="0"/>
              <w:rPr>
                <w:sz w:val="16"/>
                <w:szCs w:val="16"/>
                <w:color w:val="auto"/>
              </w:rPr>
            </w:pPr>
          </w:p>
        </w:tc>
        <w:tc>
          <w:tcPr>
            <w:tcW w:w="18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1,723.4</w:t>
            </w:r>
          </w:p>
        </w:tc>
      </w:tr>
      <w:tr>
        <w:trPr>
          <w:trHeight w:val="188"/>
        </w:trPr>
        <w:tc>
          <w:tcPr>
            <w:tcW w:w="740" w:type="dxa"/>
            <w:vAlign w:val="bottom"/>
          </w:tcPr>
          <w:p>
            <w:pPr>
              <w:jc w:val="right"/>
              <w:spacing w:after="0"/>
              <w:rPr>
                <w:sz w:val="20"/>
                <w:szCs w:val="20"/>
                <w:color w:val="auto"/>
              </w:rPr>
            </w:pPr>
            <w:r>
              <w:rPr>
                <w:rFonts w:ascii="Arial" w:cs="Arial" w:eastAsia="Arial" w:hAnsi="Arial"/>
                <w:sz w:val="14"/>
                <w:szCs w:val="14"/>
                <w:color w:val="auto"/>
              </w:rPr>
              <w:t>3.150%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120" w:type="dxa"/>
            <w:vAlign w:val="bottom"/>
            <w:tcBorders>
              <w:bottom w:val="single" w:sz="8" w:color="auto"/>
            </w:tcBorders>
            <w:shd w:val="clear" w:color="auto" w:fill="DDDDDD"/>
          </w:tcPr>
          <w:p>
            <w:pPr>
              <w:spacing w:after="0"/>
              <w:rPr>
                <w:sz w:val="16"/>
                <w:szCs w:val="16"/>
                <w:color w:val="auto"/>
              </w:rPr>
            </w:pPr>
          </w:p>
        </w:tc>
        <w:tc>
          <w:tcPr>
            <w:tcW w:w="1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1,472.6</w:t>
            </w:r>
          </w:p>
        </w:tc>
      </w:tr>
      <w:tr>
        <w:trPr>
          <w:trHeight w:val="208"/>
        </w:trPr>
        <w:tc>
          <w:tcPr>
            <w:tcW w:w="7180" w:type="dxa"/>
            <w:vAlign w:val="bottom"/>
            <w:gridSpan w:val="3"/>
          </w:tcPr>
          <w:p>
            <w:pPr>
              <w:ind w:left="360"/>
              <w:spacing w:after="0"/>
              <w:rPr>
                <w:sz w:val="20"/>
                <w:szCs w:val="20"/>
                <w:color w:val="auto"/>
              </w:rPr>
            </w:pPr>
            <w:r>
              <w:rPr>
                <w:rFonts w:ascii="Arial" w:cs="Arial" w:eastAsia="Arial" w:hAnsi="Arial"/>
                <w:sz w:val="14"/>
                <w:szCs w:val="14"/>
                <w:color w:val="auto"/>
              </w:rPr>
              <w:t>Non-current portion of notes payable</w:t>
            </w: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7,426.2</w:t>
            </w:r>
          </w:p>
        </w:tc>
      </w:tr>
      <w:tr>
        <w:trPr>
          <w:trHeight w:val="20"/>
        </w:trPr>
        <w:tc>
          <w:tcPr>
            <w:tcW w:w="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86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7774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2515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29" w:lineRule="exact"/>
        <w:rPr>
          <w:sz w:val="20"/>
          <w:szCs w:val="20"/>
          <w:color w:val="auto"/>
        </w:rPr>
      </w:pPr>
    </w:p>
    <w:p>
      <w:pPr>
        <w:ind w:left="1420" w:hanging="1413"/>
        <w:spacing w:after="0"/>
        <w:tabs>
          <w:tab w:leader="none" w:pos="14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1,495.8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2515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2" w:lineRule="exact"/>
        <w:rPr>
          <w:sz w:val="20"/>
          <w:szCs w:val="20"/>
          <w:color w:val="auto"/>
        </w:rPr>
      </w:pPr>
    </w:p>
    <w:p>
      <w:pPr>
        <w:ind w:left="1420" w:hanging="1413"/>
        <w:spacing w:after="0"/>
        <w:tabs>
          <w:tab w:leader="none" w:pos="14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1,495.8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25158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0">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12515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996.6</w:t>
            </w:r>
          </w:p>
        </w:tc>
      </w:tr>
    </w:tbl>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1,739.5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1,722.9</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2515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2" w:lineRule="exact"/>
        <w:rPr>
          <w:sz w:val="20"/>
          <w:szCs w:val="20"/>
          <w:color w:val="auto"/>
        </w:rPr>
      </w:pPr>
    </w:p>
    <w:p>
      <w:pPr>
        <w:ind w:left="1420" w:hanging="1413"/>
        <w:spacing w:after="0"/>
        <w:tabs>
          <w:tab w:leader="none" w:pos="14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4,459.0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2515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3">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12515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4">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9160" w:space="120"/>
            <w:col w:w="1960"/>
          </w:cols>
          <w:pgMar w:left="320" w:top="144" w:right="339" w:bottom="1440" w:gutter="0" w:footer="0" w:header="0"/>
          <w:type w:val="continuous"/>
        </w:sectPr>
      </w:pPr>
    </w:p>
    <w:p>
      <w:pPr>
        <w:spacing w:after="0" w:line="169" w:lineRule="exact"/>
        <w:rPr>
          <w:sz w:val="20"/>
          <w:szCs w:val="20"/>
          <w:color w:val="auto"/>
        </w:rPr>
      </w:pPr>
    </w:p>
    <w:p>
      <w:pPr>
        <w:ind w:right="140" w:firstLine="8"/>
        <w:spacing w:after="0" w:line="258" w:lineRule="auto"/>
        <w:tabs>
          <w:tab w:leader="none" w:pos="154" w:val="left"/>
        </w:tabs>
        <w:numPr>
          <w:ilvl w:val="0"/>
          <w:numId w:val="110"/>
        </w:numPr>
        <w:rPr>
          <w:rFonts w:ascii="Arial" w:cs="Arial" w:eastAsia="Arial" w:hAnsi="Arial"/>
          <w:sz w:val="9"/>
          <w:szCs w:val="9"/>
          <w:color w:val="auto"/>
        </w:rPr>
      </w:pPr>
      <w:r>
        <w:rPr>
          <w:rFonts w:ascii="Arial" w:cs="Arial" w:eastAsia="Arial" w:hAnsi="Arial"/>
          <w:sz w:val="14"/>
          <w:szCs w:val="14"/>
          <w:color w:val="auto"/>
        </w:rPr>
        <w:t>Our 2.900% Senior Notes due September 15, 2020, were redeemed in full in May 2020 using the net proceeds from the issuance on April 30, 2020, of our senior unsecured notes for an aggregate principal amount of $3.0 billion, as discussed below.</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2020 Senior Notes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April 30, 2020, we issued senior unsecured notes for an aggregate principal amount of $3.0 billion (2020 Senior Notes)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consisting of the following:</w:t>
      </w:r>
    </w:p>
    <w:p>
      <w:pPr>
        <w:spacing w:after="0" w:line="171" w:lineRule="exact"/>
        <w:rPr>
          <w:sz w:val="20"/>
          <w:szCs w:val="20"/>
          <w:color w:val="auto"/>
        </w:rPr>
      </w:pPr>
    </w:p>
    <w:p>
      <w:pPr>
        <w:ind w:left="620" w:hanging="288"/>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valued at 99.973% of par;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 valued at 99.174% of par.</w:t>
      </w:r>
    </w:p>
    <w:p>
      <w:pPr>
        <w:spacing w:after="0" w:line="171"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Our 2020 Senior Notes are senior unsecured obligations and may be redeemed at our option at any time at 100.0% of the principal amount plus accrued interest and, until a specified period before maturity, a specified make-whole amount. Our 2020 Senior Notes contain a change-of-control provision that, under certain circumstances, may require us to purchase our 2020 Senior Notes at a price equal to 101.0% of the principal amount plus accrued and unpaid interest to the date of repurchase.</w:t>
      </w:r>
    </w:p>
    <w:p>
      <w:pPr>
        <w:spacing w:after="0" w:line="150"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We incurred approximately $24.4 million of costs associated with this offering which have been recorded as a reduction to the carrying amount of the debt on our consolidated balance sheet. These costs will be amortized as additional interest expense using the effective interest rate method over the period from issuance through maturity. The discounts will be amortized as additional interest expense over the period from issuance through maturity using the effective interest rate method. Interest on our 2020 Senior Notes is payable May 1 and November 1 of each year, commencing November 1, 2020.</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2015 Senior Notes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currently outstanding senior secured notes issued in 2015 (the 2015 Senior Notes)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71" w:lineRule="exact"/>
        <w:rPr>
          <w:sz w:val="20"/>
          <w:szCs w:val="20"/>
          <w:color w:val="auto"/>
        </w:rPr>
      </w:pPr>
    </w:p>
    <w:p>
      <w:pPr>
        <w:ind w:left="700" w:hanging="287"/>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$1.0 billion aggregate principal amount of 3.625% Senior Notes due September 15, 2022, valued at 99.920% of par;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7" w:name="page138"/>
    <w:bookmarkEnd w:id="1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700" w:hanging="287"/>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valued at 99.764% of par; and</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$1.75 billion aggregate principal amount of 5.20% Senior Notes due September 15, 2045, valued at 99.294% of par.</w:t>
      </w:r>
    </w:p>
    <w:p>
      <w:pPr>
        <w:spacing w:after="0" w:line="171"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original costs associated with this offering of approximately $ 47.5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w:t>
      </w:r>
    </w:p>
    <w:p>
      <w:pPr>
        <w:spacing w:after="0" w:line="14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Our 2015 Senior Notes are senior unsecured obligations and may be redeemed at our option at any time at 100.0% of the principal amount plus accrued interest and a specified make-whole amount. Our 2015 Senior Notes contain a change of control provision that may require us to purchase the notes at a price equal to 101.0% of the principal amount plus accrued and unpaid interest to the date of purchase under certain circumstances.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September 15, 2015, we issued $1.5 billion aggregate principal amount of 2.90% Senior Notes due September 15, 2020,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99.792% of par. Our 2.90% Senior Notes were senior unsecured obligations. In connection with the 2.90% Senior Notes, we entered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contracts where we received a fixed rate and paid a variable rate. In May 2020 we used the net proceeds from the sale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2020 Senior Notes to redeem our 2.90% Senior Notes prior to their maturity and recognized a net pre-tax charge of $9.4 million upon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these notes. This charge, which was recognized in interest expense in other income (expense), net in our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 for the year ended December 31, 2020, reflects the payment of a $12.7 million early call premium and the write off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remaining unamortized original debt issuance costs and discount balances, partially offset by a $3.3 million gain related to the settlement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associated interest rate swap contracts. For additional information on our interest rate contracts, please read </w:t>
      </w:r>
      <w:r>
        <w:rPr>
          <w:rFonts w:ascii="Arial" w:cs="Arial" w:eastAsia="Arial" w:hAnsi="Arial"/>
          <w:sz w:val="18"/>
          <w:szCs w:val="18"/>
          <w:i w:val="1"/>
          <w:iCs w:val="1"/>
          <w:color w:val="auto"/>
        </w:rPr>
        <w:t>Note 9, Derivative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to these consolidated financial statements.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2020 Credit Facility</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August 2015. As of December 31, 2020, we had no outstanding borrowings and were in compliance with all covenants under this facility.</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Debt Maturity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gross payments due under our debt arrangements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2020</w:t>
            </w:r>
          </w:p>
        </w:tc>
      </w:tr>
      <w:tr>
        <w:trPr>
          <w:trHeight w:val="183"/>
        </w:trPr>
        <w:tc>
          <w:tcPr>
            <w:tcW w:w="8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80" w:type="dxa"/>
            <w:vAlign w:val="bottom"/>
            <w:tcBorders>
              <w:top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20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190"/>
        </w:trPr>
        <w:tc>
          <w:tcPr>
            <w:tcW w:w="882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1,000.0</w:t>
            </w:r>
          </w:p>
        </w:tc>
      </w:tr>
      <w:tr>
        <w:trPr>
          <w:trHeight w:val="189"/>
        </w:trPr>
        <w:tc>
          <w:tcPr>
            <w:tcW w:w="882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189"/>
        </w:trPr>
        <w:tc>
          <w:tcPr>
            <w:tcW w:w="882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189"/>
        </w:trPr>
        <w:tc>
          <w:tcPr>
            <w:tcW w:w="8820" w:type="dxa"/>
            <w:vAlign w:val="bottom"/>
          </w:tcPr>
          <w:p>
            <w:pPr>
              <w:ind w:left="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1,750.0</w:t>
            </w:r>
          </w:p>
        </w:tc>
      </w:tr>
      <w:tr>
        <w:trPr>
          <w:trHeight w:val="187"/>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2026 and thereafter</w:t>
            </w:r>
          </w:p>
        </w:tc>
        <w:tc>
          <w:tcPr>
            <w:tcW w:w="180" w:type="dxa"/>
            <w:vAlign w:val="bottom"/>
            <w:tcBorders>
              <w:bottom w:val="single" w:sz="8" w:color="auto"/>
            </w:tcBorders>
            <w:shd w:val="clear" w:color="auto" w:fill="DDDDDD"/>
          </w:tcPr>
          <w:p>
            <w:pPr>
              <w:spacing w:after="0"/>
              <w:rPr>
                <w:sz w:val="16"/>
                <w:szCs w:val="16"/>
                <w:color w:val="auto"/>
              </w:rPr>
            </w:pPr>
          </w:p>
        </w:tc>
        <w:tc>
          <w:tcPr>
            <w:tcW w:w="2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4,750.0</w:t>
            </w:r>
          </w:p>
        </w:tc>
      </w:tr>
      <w:tr>
        <w:trPr>
          <w:trHeight w:val="208"/>
        </w:trPr>
        <w:tc>
          <w:tcPr>
            <w:tcW w:w="892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20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7,500.0</w:t>
            </w: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2000" w:type="dxa"/>
            <w:vAlign w:val="bottom"/>
            <w:tcBorders>
              <w:top w:val="single" w:sz="8" w:color="DDDDDD"/>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fair value of our debt is disclosed in </w:t>
      </w:r>
      <w:r>
        <w:rPr>
          <w:rFonts w:ascii="Arial" w:cs="Arial" w:eastAsia="Arial" w:hAnsi="Arial"/>
          <w:sz w:val="18"/>
          <w:szCs w:val="18"/>
          <w:i w:val="1"/>
          <w:iCs w:val="1"/>
          <w:color w:val="auto"/>
        </w:rPr>
        <w:t>Note 7, Fair Value Measurements,</w:t>
      </w:r>
      <w:r>
        <w:rPr>
          <w:rFonts w:ascii="Arial" w:cs="Arial" w:eastAsia="Arial" w:hAnsi="Arial"/>
          <w:sz w:val="18"/>
          <w:szCs w:val="18"/>
          <w:color w:val="auto"/>
        </w:rPr>
        <w:t xml:space="preserve"> to these consolidated financial statements.</w:t>
      </w:r>
    </w:p>
    <w:p>
      <w:pPr>
        <w:spacing w:after="0" w:line="171"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578196"/>
        </w:rPr>
      </w:pPr>
      <w:r>
        <w:rPr>
          <w:rFonts w:ascii="Arial" w:cs="Arial" w:eastAsia="Arial" w:hAnsi="Arial"/>
          <w:sz w:val="22"/>
          <w:szCs w:val="22"/>
          <w:b w:val="1"/>
          <w:bCs w:val="1"/>
          <w:color w:val="578196"/>
        </w:rPr>
        <w:t>Equity</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Preferred Stock</w:t>
      </w:r>
    </w:p>
    <w:p>
      <w:pPr>
        <w:spacing w:after="0" w:line="12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shareholders from time to time in classes or series with the designations, powers, preferences and the relative, participating, optional or other special rights of the shares 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2020, 2019 and 2018.</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Common Stock</w:t>
      </w:r>
    </w:p>
    <w:p>
      <w:pPr>
        <w:spacing w:after="0" w:line="112"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The following table describes the number of shares authorized, issued and outstanding of our common stock as of December 31, 2020, 2019 and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3120" w:type="dxa"/>
            <w:vAlign w:val="bottom"/>
            <w:tcBorders>
              <w:bottom w:val="single" w:sz="8" w:color="auto"/>
            </w:tcBorders>
            <w:gridSpan w:val="5"/>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As of December 31, 2020</w:t>
            </w:r>
          </w:p>
        </w:tc>
        <w:tc>
          <w:tcPr>
            <w:tcW w:w="10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As of December 31, 2018</w:t>
            </w:r>
          </w:p>
        </w:tc>
      </w:tr>
      <w:tr>
        <w:trPr>
          <w:trHeight w:val="183"/>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DDDDDD"/>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DDDDDD"/>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15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1,000.0</w:t>
            </w:r>
          </w:p>
        </w:tc>
        <w:tc>
          <w:tcPr>
            <w:tcW w:w="100" w:type="dxa"/>
            <w:vAlign w:val="bottom"/>
            <w:shd w:val="clear" w:color="auto" w:fill="DDDDDD"/>
          </w:tcPr>
          <w:p>
            <w:pPr>
              <w:spacing w:after="0"/>
              <w:rPr>
                <w:sz w:val="15"/>
                <w:szCs w:val="15"/>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176.2</w:t>
            </w:r>
          </w:p>
        </w:tc>
        <w:tc>
          <w:tcPr>
            <w:tcW w:w="12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152.4</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174.2</w:t>
            </w:r>
          </w:p>
        </w:tc>
        <w:tc>
          <w:tcPr>
            <w:tcW w:w="1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197.2</w:t>
            </w: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Share Repurchases</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October 2020 our Board of Directors authorized a program to repurchase up to $5.0 billion of our common stock (2020 Share Repurchase Program). Our 2020 Share Repurchase Program does not have an expiration date. All share repurchases under our 2020 Share Repurchase Program will be retired. Under our 2020 Share Repurchase Program, we repurchased and retired approximately 1.6 million shares of our common stock at a cost of approximately $400.0 million during the year ended December 31, 2020.</w:t>
      </w:r>
    </w:p>
    <w:p>
      <w:pPr>
        <w:spacing w:after="0" w:line="6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16.7 million shares of our common stock at a cost of approximately $5.0 billion during the year ended December 31, 2020.</w:t>
      </w:r>
    </w:p>
    <w:p>
      <w:pPr>
        <w:spacing w:after="0" w:line="150"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 2019 Share Repurchase Program), which was completed as of March 31, 2020. All shares repurchased under our March 2019 Share Repurchase Program were retired. Under our March 2019 Share Repurchase Program, we repurchased and retired approximately 4.1 million and 14.7 million shares of our common stock at a cost of approximately $1.3 billion and $3.7 billion during the years ended December 31, 2020 and 2019, respectively.</w:t>
      </w:r>
    </w:p>
    <w:p>
      <w:pPr>
        <w:spacing w:after="0" w:line="151"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August 2018 our Board of Directors authorized a program to repurchase up to $3.5 billion of our common stock (2018 Share Repurchase Program), which was completed as of June 30, 2019. All share repurchases under our 2018 Share Repurchase Program were retired. Under our 2018 Share Repurchase Program, we repurchased and retired approximately 8.9 million and 4.3 million shares of our common stock at a cost of approximately $2.1 billion and $1.4 billion during the years ended December 31, 2019 and 2018, respectively.</w:t>
      </w:r>
    </w:p>
    <w:p>
      <w:pPr>
        <w:spacing w:after="0" w:line="150"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July 2016 our Board of Directors authorized a program to repurchase up to $5.0 billion of our common stock (2016 Share Repurchase Program), which was completed as of June 30, 2018. All share repurchases under our 2016 Share Repurchase Program were retired. Under our 2016 Share Repurchase Program, we repurchased and retired approximately 10.5 million shares of common stock at a cost of approximately $3.0 billion during the year ended December 31, 2018.</w:t>
      </w:r>
    </w:p>
    <w:p>
      <w:pPr>
        <w:spacing w:after="0" w:line="150"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Amounts paid to repurchase shares in excess of their par value are allocated between additional paid-in capital and retained earnings, with payments in excess of our additional paid-in-capital balance recorded as a reduction to retained earnings.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Accumulated Other Comprehensive Income (Loss)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the changes in accumulated other comprehensive income (loss), net of tax by component: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8516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2019</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comprehensive income (loss)</w:t>
      </w:r>
    </w:p>
    <w:p>
      <w:pPr>
        <w:ind w:left="240"/>
        <w:spacing w:after="0"/>
        <w:rPr>
          <w:sz w:val="20"/>
          <w:szCs w:val="20"/>
          <w:color w:val="auto"/>
        </w:rPr>
      </w:pPr>
      <w:r>
        <w:rPr>
          <w:rFonts w:ascii="Arial" w:cs="Arial" w:eastAsia="Arial" w:hAnsi="Arial"/>
          <w:sz w:val="14"/>
          <w:szCs w:val="14"/>
          <w:color w:val="auto"/>
        </w:rPr>
        <w:t>before reclassifications</w:t>
      </w:r>
    </w:p>
    <w:p>
      <w:pPr>
        <w:spacing w:after="0" w:line="28" w:lineRule="exact"/>
        <w:rPr>
          <w:sz w:val="20"/>
          <w:szCs w:val="20"/>
          <w:color w:val="auto"/>
        </w:rPr>
      </w:pPr>
    </w:p>
    <w:p>
      <w:pPr>
        <w:ind w:left="240"/>
        <w:spacing w:after="0" w:line="229" w:lineRule="auto"/>
        <w:rPr>
          <w:sz w:val="20"/>
          <w:szCs w:val="20"/>
          <w:color w:val="auto"/>
        </w:rPr>
      </w:pPr>
      <w:r>
        <w:rPr>
          <w:rFonts w:ascii="Arial" w:cs="Arial" w:eastAsia="Arial" w:hAnsi="Arial"/>
          <w:sz w:val="14"/>
          <w:szCs w:val="14"/>
          <w:color w:val="auto"/>
        </w:rPr>
        <w:t>Amounts reclassified from accumulated other comprehensive income (loss)</w:t>
      </w:r>
    </w:p>
    <w:p>
      <w:pPr>
        <w:spacing w:after="0" w:line="17" w:lineRule="exact"/>
        <w:rPr>
          <w:sz w:val="20"/>
          <w:szCs w:val="20"/>
          <w:color w:val="auto"/>
        </w:rPr>
      </w:pPr>
    </w:p>
    <w:p>
      <w:pPr>
        <w:ind w:left="160" w:right="60"/>
        <w:spacing w:after="0" w:line="229" w:lineRule="auto"/>
        <w:rPr>
          <w:sz w:val="20"/>
          <w:szCs w:val="20"/>
          <w:color w:val="auto"/>
        </w:rPr>
      </w:pPr>
      <w:r>
        <w:rPr>
          <w:rFonts w:ascii="Arial" w:cs="Arial" w:eastAsia="Arial" w:hAnsi="Arial"/>
          <w:sz w:val="14"/>
          <w:szCs w:val="14"/>
          <w:color w:val="auto"/>
        </w:rPr>
        <w:t>Net current period other comprehensive income (loss)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8516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2018</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comprehensive income (loss)</w:t>
      </w:r>
    </w:p>
    <w:p>
      <w:pPr>
        <w:ind w:left="240"/>
        <w:spacing w:after="0"/>
        <w:rPr>
          <w:sz w:val="20"/>
          <w:szCs w:val="20"/>
          <w:color w:val="auto"/>
        </w:rPr>
      </w:pPr>
      <w:r>
        <w:rPr>
          <w:rFonts w:ascii="Arial" w:cs="Arial" w:eastAsia="Arial" w:hAnsi="Arial"/>
          <w:sz w:val="14"/>
          <w:szCs w:val="14"/>
          <w:color w:val="auto"/>
        </w:rPr>
        <w:t>before reclassifications</w:t>
      </w:r>
    </w:p>
    <w:p>
      <w:pPr>
        <w:spacing w:after="0" w:line="28" w:lineRule="exact"/>
        <w:rPr>
          <w:sz w:val="20"/>
          <w:szCs w:val="20"/>
          <w:color w:val="auto"/>
        </w:rPr>
      </w:pPr>
    </w:p>
    <w:p>
      <w:pPr>
        <w:ind w:left="240"/>
        <w:spacing w:after="0" w:line="229" w:lineRule="auto"/>
        <w:rPr>
          <w:sz w:val="20"/>
          <w:szCs w:val="20"/>
          <w:color w:val="auto"/>
        </w:rPr>
      </w:pPr>
      <w:r>
        <w:rPr>
          <w:rFonts w:ascii="Arial" w:cs="Arial" w:eastAsia="Arial" w:hAnsi="Arial"/>
          <w:sz w:val="14"/>
          <w:szCs w:val="14"/>
          <w:color w:val="auto"/>
        </w:rPr>
        <w:t>Amounts reclassified from accumulated other comprehensive income (loss)</w:t>
      </w:r>
    </w:p>
    <w:p>
      <w:pPr>
        <w:spacing w:after="0" w:line="17" w:lineRule="exact"/>
        <w:rPr>
          <w:sz w:val="20"/>
          <w:szCs w:val="20"/>
          <w:color w:val="auto"/>
        </w:rPr>
      </w:pPr>
    </w:p>
    <w:p>
      <w:pPr>
        <w:ind w:left="160" w:right="60"/>
        <w:spacing w:after="0" w:line="229" w:lineRule="auto"/>
        <w:rPr>
          <w:sz w:val="20"/>
          <w:szCs w:val="20"/>
          <w:color w:val="auto"/>
        </w:rPr>
      </w:pPr>
      <w:r>
        <w:rPr>
          <w:rFonts w:ascii="Arial" w:cs="Arial" w:eastAsia="Arial" w:hAnsi="Arial"/>
          <w:sz w:val="14"/>
          <w:szCs w:val="14"/>
          <w:color w:val="auto"/>
        </w:rPr>
        <w:t>Net current period other comprehensive income (loss)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99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2017</w:t>
      </w:r>
    </w:p>
    <w:p>
      <w:pPr>
        <w:spacing w:after="0" w:line="28" w:lineRule="exact"/>
        <w:rPr>
          <w:sz w:val="20"/>
          <w:szCs w:val="20"/>
          <w:color w:val="auto"/>
        </w:rPr>
      </w:pPr>
    </w:p>
    <w:p>
      <w:pPr>
        <w:ind w:left="220" w:right="200"/>
        <w:spacing w:after="0" w:line="229" w:lineRule="auto"/>
        <w:rPr>
          <w:sz w:val="20"/>
          <w:szCs w:val="20"/>
          <w:color w:val="auto"/>
        </w:rPr>
      </w:pPr>
      <w:r>
        <w:rPr>
          <w:rFonts w:ascii="Arial" w:cs="Arial" w:eastAsia="Arial" w:hAnsi="Arial"/>
          <w:sz w:val="14"/>
          <w:szCs w:val="14"/>
          <w:color w:val="auto"/>
        </w:rPr>
        <w:t>Amount reclassified, net of tax, upon adoption of ASU 2016-01</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January 1, 2018</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comprehensive income (loss)</w:t>
      </w:r>
    </w:p>
    <w:p>
      <w:pPr>
        <w:ind w:left="220"/>
        <w:spacing w:after="0"/>
        <w:rPr>
          <w:sz w:val="20"/>
          <w:szCs w:val="20"/>
          <w:color w:val="auto"/>
        </w:rPr>
      </w:pPr>
      <w:r>
        <w:rPr>
          <w:rFonts w:ascii="Arial" w:cs="Arial" w:eastAsia="Arial" w:hAnsi="Arial"/>
          <w:sz w:val="14"/>
          <w:szCs w:val="14"/>
          <w:color w:val="auto"/>
        </w:rPr>
        <w:t>before reclassifications</w:t>
      </w:r>
    </w:p>
    <w:p>
      <w:pPr>
        <w:spacing w:after="0" w:line="28" w:lineRule="exact"/>
        <w:rPr>
          <w:sz w:val="20"/>
          <w:szCs w:val="20"/>
          <w:color w:val="auto"/>
        </w:rPr>
      </w:pPr>
    </w:p>
    <w:p>
      <w:pPr>
        <w:ind w:left="220" w:right="20"/>
        <w:spacing w:after="0" w:line="229" w:lineRule="auto"/>
        <w:rPr>
          <w:sz w:val="20"/>
          <w:szCs w:val="20"/>
          <w:color w:val="auto"/>
        </w:rPr>
      </w:pPr>
      <w:r>
        <w:rPr>
          <w:rFonts w:ascii="Arial" w:cs="Arial" w:eastAsia="Arial" w:hAnsi="Arial"/>
          <w:sz w:val="14"/>
          <w:szCs w:val="14"/>
          <w:color w:val="auto"/>
        </w:rPr>
        <w:t>Amounts reclassified from accumulated other comprehensive income (loss)</w:t>
      </w:r>
    </w:p>
    <w:p>
      <w:pPr>
        <w:spacing w:after="0" w:line="17" w:lineRule="exact"/>
        <w:rPr>
          <w:sz w:val="20"/>
          <w:szCs w:val="20"/>
          <w:color w:val="auto"/>
        </w:rPr>
      </w:pPr>
    </w:p>
    <w:p>
      <w:pPr>
        <w:ind w:left="140" w:right="80"/>
        <w:spacing w:after="0" w:line="229" w:lineRule="auto"/>
        <w:rPr>
          <w:sz w:val="20"/>
          <w:szCs w:val="20"/>
          <w:color w:val="auto"/>
        </w:rPr>
      </w:pPr>
      <w:r>
        <w:rPr>
          <w:rFonts w:ascii="Arial" w:cs="Arial" w:eastAsia="Arial" w:hAnsi="Arial"/>
          <w:sz w:val="14"/>
          <w:szCs w:val="14"/>
          <w:color w:val="auto"/>
        </w:rPr>
        <w:t>Net current period other comprehensive income (loss)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2018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Unfunded Status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Gains (Losses) 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1"/>
                <w:szCs w:val="11"/>
                <w:color w:val="auto"/>
              </w:rPr>
            </w:pPr>
          </w:p>
        </w:tc>
        <w:tc>
          <w:tcPr>
            <w:tcW w:w="142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2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of Postretirement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Available for Sale,</w:t>
            </w:r>
          </w:p>
        </w:tc>
        <w:tc>
          <w:tcPr>
            <w:tcW w:w="100" w:type="dxa"/>
            <w:vAlign w:val="bottom"/>
          </w:tcPr>
          <w:p>
            <w:pPr>
              <w:spacing w:after="0"/>
              <w:rPr>
                <w:sz w:val="11"/>
                <w:szCs w:val="11"/>
                <w:color w:val="auto"/>
              </w:rPr>
            </w:pPr>
          </w:p>
        </w:tc>
        <w:tc>
          <w:tcPr>
            <w:tcW w:w="142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rPr>
              <w:t>Flow Hedges, net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Net Investment</w:t>
            </w:r>
          </w:p>
        </w:tc>
        <w:tc>
          <w:tcPr>
            <w:tcW w:w="20" w:type="dxa"/>
            <w:vAlign w:val="bottom"/>
          </w:tcPr>
          <w:p>
            <w:pPr>
              <w:spacing w:after="0"/>
              <w:rPr>
                <w:sz w:val="11"/>
                <w:szCs w:val="11"/>
                <w:color w:val="auto"/>
              </w:rPr>
            </w:pP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Benefit Plans, net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of tax</w:t>
            </w:r>
          </w:p>
        </w:tc>
        <w:tc>
          <w:tcPr>
            <w:tcW w:w="100" w:type="dxa"/>
            <w:vAlign w:val="bottom"/>
            <w:tcBorders>
              <w:bottom w:val="single" w:sz="8" w:color="DDDDDD"/>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Hedge, Net of Tax</w:t>
            </w:r>
          </w:p>
        </w:tc>
        <w:tc>
          <w:tcPr>
            <w:tcW w:w="120" w:type="dxa"/>
            <w:vAlign w:val="bottom"/>
            <w:tcBorders>
              <w:bottom w:val="single" w:sz="8" w:color="DDDDDD"/>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of tax</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DDDDDD"/>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4.2</w:t>
            </w:r>
          </w:p>
        </w:tc>
        <w:tc>
          <w:tcPr>
            <w:tcW w:w="400" w:type="dxa"/>
            <w:vAlign w:val="bottom"/>
            <w:gridSpan w:val="2"/>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7.8</w:t>
            </w:r>
          </w:p>
        </w:tc>
        <w:tc>
          <w:tcPr>
            <w:tcW w:w="2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4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25.1</w:t>
            </w: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900" w:type="dxa"/>
            <w:vAlign w:val="bottom"/>
            <w:gridSpan w:val="2"/>
            <w:shd w:val="clear" w:color="auto" w:fill="DDDDDD"/>
          </w:tcPr>
          <w:p>
            <w:pPr>
              <w:jc w:val="right"/>
              <w:ind w:right="728"/>
              <w:spacing w:after="0"/>
              <w:rPr>
                <w:sz w:val="20"/>
                <w:szCs w:val="20"/>
                <w:color w:val="auto"/>
              </w:rPr>
            </w:pPr>
            <w:r>
              <w:rPr>
                <w:rFonts w:ascii="Arial" w:cs="Arial" w:eastAsia="Arial" w:hAnsi="Arial"/>
                <w:sz w:val="14"/>
                <w:szCs w:val="14"/>
                <w:color w:val="2573BA"/>
              </w:rPr>
              <w:t>$</w:t>
            </w:r>
          </w:p>
        </w:tc>
        <w:tc>
          <w:tcPr>
            <w:tcW w:w="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(32.8)</w:t>
            </w:r>
          </w:p>
        </w:tc>
        <w:tc>
          <w:tcPr>
            <w:tcW w:w="100" w:type="dxa"/>
            <w:vAlign w:val="bottom"/>
            <w:shd w:val="clear" w:color="auto" w:fill="DDDDDD"/>
          </w:tcPr>
          <w:p>
            <w:pPr>
              <w:spacing w:after="0"/>
              <w:rPr>
                <w:sz w:val="15"/>
                <w:szCs w:val="15"/>
                <w:color w:val="auto"/>
              </w:rPr>
            </w:pPr>
          </w:p>
        </w:tc>
        <w:tc>
          <w:tcPr>
            <w:tcW w:w="18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(139.5)</w:t>
            </w: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8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(9.3)</w:t>
            </w:r>
          </w:p>
        </w:tc>
        <w:tc>
          <w:tcPr>
            <w:tcW w:w="10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(165.0)</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(30.7)</w:t>
            </w: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4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(33.5)</w:t>
            </w: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92.9</w:t>
            </w: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shd w:val="clear" w:color="auto" w:fill="DDDDDD"/>
          </w:tcPr>
          <w:p>
            <w:pPr>
              <w:spacing w:after="0"/>
              <w:rPr>
                <w:sz w:val="24"/>
                <w:szCs w:val="24"/>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6.5</w:t>
            </w:r>
          </w:p>
        </w:tc>
        <w:tc>
          <w:tcPr>
            <w:tcW w:w="10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(21.8)</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(2.9)</w:t>
            </w: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80" w:type="dxa"/>
            <w:vAlign w:val="bottom"/>
            <w:shd w:val="clear" w:color="auto" w:fill="DDDDDD"/>
          </w:tcPr>
          <w:p>
            <w:pPr>
              <w:spacing w:after="0"/>
              <w:rPr>
                <w:sz w:val="24"/>
                <w:szCs w:val="24"/>
                <w:color w:val="auto"/>
              </w:rPr>
            </w:pPr>
          </w:p>
        </w:tc>
        <w:tc>
          <w:tcPr>
            <w:tcW w:w="540" w:type="dxa"/>
            <w:vAlign w:val="bottom"/>
            <w:gridSpan w:val="2"/>
            <w:shd w:val="clear" w:color="auto" w:fill="DDDDDD"/>
          </w:tcPr>
          <w:p>
            <w:pPr>
              <w:jc w:val="right"/>
              <w:ind w:right="180"/>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260" w:type="dxa"/>
            <w:vAlign w:val="bottom"/>
            <w:gridSpan w:val="3"/>
            <w:shd w:val="clear" w:color="auto" w:fill="DDDDDD"/>
          </w:tcPr>
          <w:p>
            <w:pPr>
              <w:jc w:val="right"/>
              <w:ind w:right="180"/>
              <w:spacing w:after="0"/>
              <w:rPr>
                <w:sz w:val="20"/>
                <w:szCs w:val="20"/>
                <w:color w:val="auto"/>
              </w:rPr>
            </w:pPr>
            <w:r>
              <w:rPr>
                <w:rFonts w:ascii="Arial" w:cs="Arial" w:eastAsia="Arial" w:hAnsi="Arial"/>
                <w:sz w:val="14"/>
                <w:szCs w:val="14"/>
                <w:color w:val="2573BA"/>
              </w:rPr>
              <w:t>—</w:t>
            </w:r>
          </w:p>
        </w:tc>
        <w:tc>
          <w:tcPr>
            <w:tcW w:w="22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 w:type="dxa"/>
            <w:vAlign w:val="bottom"/>
            <w:tcBorders>
              <w:top w:val="single" w:sz="8" w:color="auto"/>
              <w:bottom w:val="single" w:sz="8" w:color="auto"/>
            </w:tcBorders>
            <w:shd w:val="clear" w:color="auto" w:fill="DDDDDD"/>
          </w:tcPr>
          <w:p>
            <w:pPr>
              <w:spacing w:after="0"/>
              <w:rPr>
                <w:sz w:val="24"/>
                <w:szCs w:val="24"/>
                <w:color w:val="auto"/>
              </w:rPr>
            </w:pPr>
          </w:p>
        </w:tc>
        <w:tc>
          <w:tcPr>
            <w:tcW w:w="1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(2.8)</w:t>
            </w:r>
          </w:p>
        </w:tc>
        <w:tc>
          <w:tcPr>
            <w:tcW w:w="100" w:type="dxa"/>
            <w:vAlign w:val="bottom"/>
            <w:tcBorders>
              <w:top w:val="single" w:sz="8" w:color="DDDDDD"/>
              <w:bottom w:val="single" w:sz="8" w:color="DDDDDD"/>
            </w:tcBorders>
            <w:shd w:val="clear" w:color="auto" w:fill="DDDDDD"/>
          </w:tcPr>
          <w:p>
            <w:pPr>
              <w:spacing w:after="0"/>
              <w:rPr>
                <w:sz w:val="24"/>
                <w:szCs w:val="24"/>
                <w:color w:val="auto"/>
              </w:rPr>
            </w:pPr>
          </w:p>
        </w:tc>
        <w:tc>
          <w:tcPr>
            <w:tcW w:w="300" w:type="dxa"/>
            <w:vAlign w:val="bottom"/>
            <w:tcBorders>
              <w:top w:val="single" w:sz="8" w:color="auto"/>
              <w:bottom w:val="single" w:sz="8" w:color="auto"/>
            </w:tcBorders>
            <w:shd w:val="clear" w:color="auto" w:fill="DDDDDD"/>
          </w:tcPr>
          <w:p>
            <w:pPr>
              <w:spacing w:after="0"/>
              <w:rPr>
                <w:sz w:val="24"/>
                <w:szCs w:val="24"/>
                <w:color w:val="auto"/>
              </w:rPr>
            </w:pPr>
          </w:p>
        </w:tc>
        <w:tc>
          <w:tcPr>
            <w:tcW w:w="10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(186.8)</w:t>
            </w: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8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auto"/>
              <w:bottom w:val="single" w:sz="8" w:color="auto"/>
            </w:tcBorders>
            <w:shd w:val="clear" w:color="auto" w:fill="DDDDDD"/>
          </w:tcPr>
          <w:p>
            <w:pPr>
              <w:spacing w:after="0"/>
              <w:rPr>
                <w:sz w:val="24"/>
                <w:szCs w:val="24"/>
                <w:color w:val="auto"/>
              </w:rPr>
            </w:pPr>
          </w:p>
        </w:tc>
        <w:tc>
          <w:tcPr>
            <w:tcW w:w="120" w:type="dxa"/>
            <w:vAlign w:val="bottom"/>
            <w:tcBorders>
              <w:top w:val="single" w:sz="8" w:color="auto"/>
              <w:bottom w:val="single" w:sz="8" w:color="auto"/>
            </w:tcBorders>
            <w:shd w:val="clear" w:color="auto" w:fill="DDDDDD"/>
          </w:tcPr>
          <w:p>
            <w:pPr>
              <w:spacing w:after="0"/>
              <w:rPr>
                <w:sz w:val="24"/>
                <w:szCs w:val="24"/>
                <w:color w:val="auto"/>
              </w:rPr>
            </w:pPr>
          </w:p>
        </w:tc>
        <w:tc>
          <w:tcPr>
            <w:tcW w:w="1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(33.6)</w:t>
            </w: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10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auto"/>
              <w:bottom w:val="single" w:sz="8" w:color="auto"/>
            </w:tcBorders>
            <w:shd w:val="clear" w:color="auto" w:fill="DDDDDD"/>
          </w:tcPr>
          <w:p>
            <w:pPr>
              <w:spacing w:after="0"/>
              <w:rPr>
                <w:sz w:val="24"/>
                <w:szCs w:val="24"/>
                <w:color w:val="auto"/>
              </w:rPr>
            </w:pPr>
          </w:p>
        </w:tc>
        <w:tc>
          <w:tcPr>
            <w:tcW w:w="880" w:type="dxa"/>
            <w:vAlign w:val="bottom"/>
            <w:tcBorders>
              <w:top w:val="single" w:sz="8" w:color="auto"/>
              <w:bottom w:val="single" w:sz="8" w:color="auto"/>
            </w:tcBorders>
            <w:shd w:val="clear" w:color="auto" w:fill="DDDDDD"/>
          </w:tcPr>
          <w:p>
            <w:pPr>
              <w:spacing w:after="0"/>
              <w:rPr>
                <w:sz w:val="24"/>
                <w:szCs w:val="24"/>
                <w:color w:val="auto"/>
              </w:rPr>
            </w:pPr>
          </w:p>
        </w:tc>
        <w:tc>
          <w:tcPr>
            <w:tcW w:w="4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(33.5)</w:t>
            </w:r>
          </w:p>
        </w:tc>
        <w:tc>
          <w:tcPr>
            <w:tcW w:w="10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auto"/>
              <w:bottom w:val="single" w:sz="8" w:color="auto"/>
            </w:tcBorders>
            <w:shd w:val="clear" w:color="auto" w:fill="DDDDDD"/>
          </w:tcPr>
          <w:p>
            <w:pPr>
              <w:spacing w:after="0"/>
              <w:rPr>
                <w:sz w:val="24"/>
                <w:szCs w:val="24"/>
                <w:color w:val="auto"/>
              </w:rPr>
            </w:pPr>
          </w:p>
        </w:tc>
        <w:tc>
          <w:tcPr>
            <w:tcW w:w="160" w:type="dxa"/>
            <w:vAlign w:val="bottom"/>
            <w:tcBorders>
              <w:top w:val="single" w:sz="8" w:color="auto"/>
              <w:bottom w:val="single" w:sz="8" w:color="auto"/>
            </w:tcBorders>
            <w:shd w:val="clear" w:color="auto" w:fill="DDDDDD"/>
          </w:tcPr>
          <w:p>
            <w:pPr>
              <w:spacing w:after="0"/>
              <w:rPr>
                <w:sz w:val="24"/>
                <w:szCs w:val="24"/>
                <w:color w:val="auto"/>
              </w:rPr>
            </w:pPr>
          </w:p>
        </w:tc>
        <w:tc>
          <w:tcPr>
            <w:tcW w:w="1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92.9</w:t>
            </w: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100" w:type="dxa"/>
            <w:vAlign w:val="bottom"/>
            <w:tcBorders>
              <w:top w:val="single" w:sz="8" w:color="DDDDDD"/>
              <w:bottom w:val="single" w:sz="8" w:color="DDDDDD"/>
            </w:tcBorders>
            <w:shd w:val="clear" w:color="auto" w:fill="DDDDDD"/>
          </w:tcPr>
          <w:p>
            <w:pPr>
              <w:spacing w:after="0"/>
              <w:rPr>
                <w:sz w:val="24"/>
                <w:szCs w:val="24"/>
                <w:color w:val="auto"/>
              </w:rPr>
            </w:pPr>
          </w:p>
        </w:tc>
        <w:tc>
          <w:tcPr>
            <w:tcW w:w="220" w:type="dxa"/>
            <w:vAlign w:val="bottom"/>
            <w:tcBorders>
              <w:top w:val="single" w:sz="8" w:color="auto"/>
              <w:bottom w:val="single" w:sz="8" w:color="auto"/>
            </w:tcBorders>
            <w:shd w:val="clear" w:color="auto" w:fill="DDDDDD"/>
          </w:tcPr>
          <w:p>
            <w:pPr>
              <w:spacing w:after="0"/>
              <w:rPr>
                <w:sz w:val="24"/>
                <w:szCs w:val="24"/>
                <w:color w:val="auto"/>
              </w:rPr>
            </w:pP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(163.8)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1.4</w:t>
            </w:r>
          </w:p>
        </w:tc>
        <w:tc>
          <w:tcPr>
            <w:tcW w:w="10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(179.0)</w:t>
            </w:r>
          </w:p>
        </w:tc>
        <w:tc>
          <w:tcPr>
            <w:tcW w:w="20" w:type="dxa"/>
            <w:vAlign w:val="bottom"/>
            <w:tcBorders>
              <w:bottom w:val="single" w:sz="8" w:color="DDDDDD"/>
            </w:tcBorders>
            <w:shd w:val="clear" w:color="auto" w:fill="DDDDDD"/>
          </w:tcPr>
          <w:p>
            <w:pPr>
              <w:spacing w:after="0"/>
              <w:rPr>
                <w:sz w:val="17"/>
                <w:szCs w:val="17"/>
                <w:color w:val="auto"/>
              </w:rPr>
            </w:pPr>
          </w:p>
        </w:tc>
        <w:tc>
          <w:tcPr>
            <w:tcW w:w="8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(8.5)</w:t>
            </w:r>
          </w:p>
        </w:tc>
        <w:tc>
          <w:tcPr>
            <w:tcW w:w="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900" w:type="dxa"/>
            <w:vAlign w:val="bottom"/>
            <w:tcBorders>
              <w:bottom w:val="single" w:sz="8" w:color="auto"/>
            </w:tcBorders>
            <w:gridSpan w:val="2"/>
            <w:shd w:val="clear" w:color="auto" w:fill="DDDDDD"/>
          </w:tcPr>
          <w:p>
            <w:pPr>
              <w:jc w:val="right"/>
              <w:ind w:right="728"/>
              <w:spacing w:after="0"/>
              <w:rPr>
                <w:sz w:val="20"/>
                <w:szCs w:val="20"/>
                <w:color w:val="auto"/>
              </w:rPr>
            </w:pPr>
            <w:r>
              <w:rPr>
                <w:rFonts w:ascii="Arial" w:cs="Arial" w:eastAsia="Arial" w:hAnsi="Arial"/>
                <w:sz w:val="14"/>
                <w:szCs w:val="14"/>
                <w:color w:val="2573BA"/>
              </w:rPr>
              <w:t>$</w:t>
            </w:r>
          </w:p>
        </w:tc>
        <w:tc>
          <w:tcPr>
            <w:tcW w:w="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(66.3)</w:t>
            </w:r>
          </w:p>
        </w:tc>
        <w:tc>
          <w:tcPr>
            <w:tcW w:w="10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auto"/>
            </w:tcBorders>
            <w:gridSpan w:val="2"/>
            <w:shd w:val="clear" w:color="auto" w:fill="DDDDDD"/>
          </w:tcPr>
          <w:p>
            <w:pPr>
              <w:jc w:val="right"/>
              <w:ind w:right="80"/>
              <w:spacing w:after="0"/>
              <w:rPr>
                <w:sz w:val="20"/>
                <w:szCs w:val="20"/>
                <w:color w:val="auto"/>
              </w:rPr>
            </w:pPr>
            <w:r>
              <w:rPr>
                <w:rFonts w:ascii="Arial" w:cs="Arial" w:eastAsia="Arial" w:hAnsi="Arial"/>
                <w:sz w:val="14"/>
                <w:szCs w:val="14"/>
                <w:color w:val="2573BA"/>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(46.6)</w:t>
            </w:r>
          </w:p>
        </w:tc>
        <w:tc>
          <w:tcPr>
            <w:tcW w:w="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102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DDDDDD"/>
              <w:bottom w:val="single" w:sz="8" w:color="auto"/>
            </w:tcBorders>
          </w:tcPr>
          <w:p>
            <w:pPr>
              <w:spacing w:after="0" w:line="20" w:lineRule="exact"/>
              <w:rPr>
                <w:sz w:val="1"/>
                <w:szCs w:val="1"/>
                <w:color w:val="auto"/>
              </w:rPr>
            </w:pPr>
          </w:p>
        </w:tc>
        <w:tc>
          <w:tcPr>
            <w:tcW w:w="82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4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Unfunded Status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Gains (Losses) 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1"/>
                <w:szCs w:val="11"/>
                <w:color w:val="auto"/>
              </w:rPr>
            </w:pPr>
          </w:p>
        </w:tc>
        <w:tc>
          <w:tcPr>
            <w:tcW w:w="142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2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of Postretirement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Available for Sale,</w:t>
            </w:r>
          </w:p>
        </w:tc>
        <w:tc>
          <w:tcPr>
            <w:tcW w:w="100" w:type="dxa"/>
            <w:vAlign w:val="bottom"/>
          </w:tcPr>
          <w:p>
            <w:pPr>
              <w:spacing w:after="0"/>
              <w:rPr>
                <w:sz w:val="11"/>
                <w:szCs w:val="11"/>
                <w:color w:val="auto"/>
              </w:rPr>
            </w:pPr>
          </w:p>
        </w:tc>
        <w:tc>
          <w:tcPr>
            <w:tcW w:w="142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rPr>
              <w:t>Flow Hedges, net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Net Investment</w:t>
            </w:r>
          </w:p>
        </w:tc>
        <w:tc>
          <w:tcPr>
            <w:tcW w:w="20" w:type="dxa"/>
            <w:vAlign w:val="bottom"/>
          </w:tcPr>
          <w:p>
            <w:pPr>
              <w:spacing w:after="0"/>
              <w:rPr>
                <w:sz w:val="11"/>
                <w:szCs w:val="11"/>
                <w:color w:val="auto"/>
              </w:rPr>
            </w:pP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Benefit Plans, net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of tax</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Hedge, Net of Tax</w:t>
            </w:r>
          </w:p>
        </w:tc>
        <w:tc>
          <w:tcPr>
            <w:tcW w:w="1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of tax</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Adjustments</w:t>
            </w:r>
          </w:p>
        </w:tc>
        <w:tc>
          <w:tcPr>
            <w:tcW w:w="12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December 31, 2018</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4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Unrealized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Unfunded Status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Gains (Losses) on</w:t>
            </w:r>
          </w:p>
        </w:tc>
        <w:tc>
          <w:tcPr>
            <w:tcW w:w="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14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1"/>
                <w:szCs w:val="11"/>
                <w:color w:val="auto"/>
              </w:rPr>
            </w:pPr>
          </w:p>
        </w:tc>
        <w:tc>
          <w:tcPr>
            <w:tcW w:w="142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rPr>
              <w:t>(Losses) on Cash</w:t>
            </w:r>
          </w:p>
        </w:tc>
        <w:tc>
          <w:tcPr>
            <w:tcW w:w="2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of Postretirement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Available for Sale,</w:t>
            </w:r>
          </w:p>
        </w:tc>
        <w:tc>
          <w:tcPr>
            <w:tcW w:w="100" w:type="dxa"/>
            <w:vAlign w:val="bottom"/>
          </w:tcPr>
          <w:p>
            <w:pPr>
              <w:spacing w:after="0"/>
              <w:rPr>
                <w:sz w:val="11"/>
                <w:szCs w:val="11"/>
                <w:color w:val="auto"/>
              </w:rPr>
            </w:pPr>
          </w:p>
        </w:tc>
        <w:tc>
          <w:tcPr>
            <w:tcW w:w="142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rPr>
              <w:t>Flow Hedges, net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Net Investment</w:t>
            </w:r>
          </w:p>
        </w:tc>
        <w:tc>
          <w:tcPr>
            <w:tcW w:w="2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Benefit Plans, net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of tax</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Hedge, Net of Tax</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rPr>
              <w:t>of tax</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ind w:left="9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(243.3)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760" w:space="280"/>
            <w:col w:w="8200"/>
          </w:cols>
          <w:pgMar w:left="320" w:top="144"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0" w:name="page141"/>
    <w:bookmarkEnd w:id="1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amounts reclassified from accumulated other comprehensive income:</w:t>
      </w:r>
    </w:p>
    <w:p>
      <w:pPr>
        <w:spacing w:after="0" w:line="17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Amounts Reclassified from</w:t>
      </w:r>
    </w:p>
    <w:p>
      <w:pPr>
        <w:jc w:val="center"/>
        <w:ind w:left="7520"/>
        <w:spacing w:after="0"/>
        <w:rPr>
          <w:sz w:val="20"/>
          <w:szCs w:val="20"/>
          <w:color w:val="auto"/>
        </w:rPr>
      </w:pPr>
      <w:r>
        <w:rPr>
          <w:rFonts w:ascii="Arial" w:cs="Arial" w:eastAsia="Arial" w:hAnsi="Arial"/>
          <w:sz w:val="14"/>
          <w:szCs w:val="14"/>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6350</wp:posOffset>
            </wp:positionV>
            <wp:extent cx="22974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548"/>
              <w:spacing w:after="0"/>
              <w:rPr>
                <w:sz w:val="20"/>
                <w:szCs w:val="20"/>
                <w:color w:val="auto"/>
              </w:rPr>
            </w:pPr>
            <w:r>
              <w:rPr>
                <w:rFonts w:ascii="Arial" w:cs="Arial" w:eastAsia="Arial" w:hAnsi="Arial"/>
                <w:sz w:val="14"/>
                <w:szCs w:val="14"/>
                <w:b w:val="1"/>
                <w:bCs w:val="1"/>
                <w:color w:val="auto"/>
              </w:rPr>
              <w:t>For the Years Ended December 31,</w:t>
            </w:r>
          </w:p>
        </w:tc>
      </w:tr>
      <w:tr>
        <w:trPr>
          <w:trHeight w:val="19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88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r>
      <w:tr>
        <w:trPr>
          <w:trHeight w:val="183"/>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(8.2)</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89"/>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Gains (losses) on cash flow hedges</w:t>
            </w: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90"/>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shd w:val="clear" w:color="auto" w:fill="DDDDDD"/>
          </w:tcPr>
          <w:p>
            <w:pPr>
              <w:spacing w:after="0"/>
              <w:rPr>
                <w:sz w:val="16"/>
                <w:szCs w:val="16"/>
                <w:color w:val="auto"/>
              </w:rPr>
            </w:pPr>
          </w:p>
        </w:tc>
        <w:tc>
          <w:tcPr>
            <w:tcW w:w="8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DDDDDD"/>
          </w:tcPr>
          <w:p>
            <w:pPr>
              <w:spacing w:after="0"/>
              <w:rPr>
                <w:sz w:val="16"/>
                <w:szCs w:val="16"/>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97"/>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Gains (losses) on net investment hedge</w:t>
            </w: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4420" w:type="dxa"/>
            <w:vAlign w:val="bottom"/>
            <w:gridSpan w:val="2"/>
          </w:tcPr>
          <w:p>
            <w:pPr>
              <w:ind w:left="20"/>
              <w:spacing w:after="0"/>
              <w:rPr>
                <w:sz w:val="20"/>
                <w:szCs w:val="20"/>
                <w:color w:val="auto"/>
              </w:rPr>
            </w:pPr>
            <w:r>
              <w:rPr>
                <w:rFonts w:ascii="Arial" w:cs="Arial" w:eastAsia="Arial" w:hAnsi="Arial"/>
                <w:sz w:val="14"/>
                <w:szCs w:val="14"/>
                <w:color w:val="auto"/>
              </w:rPr>
              <w:t>Total reclassifications, net of tax</w:t>
            </w: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88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18.2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w:t>
            </w: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2"/>
          <w:szCs w:val="22"/>
          <w:b w:val="1"/>
          <w:bCs w:val="1"/>
          <w:color w:val="578196"/>
        </w:rPr>
      </w:pPr>
      <w:r>
        <w:rPr>
          <w:rFonts w:ascii="Arial" w:cs="Arial" w:eastAsia="Arial" w:hAnsi="Arial"/>
          <w:sz w:val="22"/>
          <w:szCs w:val="22"/>
          <w:b w:val="1"/>
          <w:bCs w:val="1"/>
          <w:color w:val="578196"/>
        </w:rPr>
        <w:t>Earnings per Share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are calculated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4"/>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4,000.6</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5,888.5</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4,430.7</w:t>
            </w:r>
          </w:p>
        </w:tc>
      </w:tr>
      <w:tr>
        <w:trPr>
          <w:trHeight w:val="157"/>
        </w:trPr>
        <w:tc>
          <w:tcPr>
            <w:tcW w:w="60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Denominator:</w:t>
            </w:r>
          </w:p>
        </w:tc>
        <w:tc>
          <w:tcPr>
            <w:tcW w:w="400" w:type="dxa"/>
            <w:vAlign w:val="bottom"/>
            <w:tcBorders>
              <w:top w:val="single" w:sz="8" w:color="auto"/>
            </w:tcBorders>
            <w:shd w:val="clear" w:color="auto" w:fill="DDDDDD"/>
          </w:tcPr>
          <w:p>
            <w:pPr>
              <w:spacing w:after="0"/>
              <w:rPr>
                <w:sz w:val="13"/>
                <w:szCs w:val="13"/>
                <w:color w:val="auto"/>
              </w:rPr>
            </w:pPr>
          </w:p>
        </w:tc>
        <w:tc>
          <w:tcPr>
            <w:tcW w:w="1280" w:type="dxa"/>
            <w:vAlign w:val="bottom"/>
            <w:tcBorders>
              <w:top w:val="single" w:sz="8" w:color="auto"/>
            </w:tcBorders>
            <w:shd w:val="clear" w:color="auto" w:fill="DDDDDD"/>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189"/>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160.9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204.9</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90"/>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Market stock units</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8"/>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400" w:type="dxa"/>
            <w:vAlign w:val="bottom"/>
            <w:tcBorders>
              <w:top w:val="single" w:sz="8" w:color="auto"/>
              <w:bottom w:val="single" w:sz="8" w:color="auto"/>
            </w:tcBorders>
            <w:shd w:val="clear" w:color="auto" w:fill="DDDDDD"/>
          </w:tcPr>
          <w:p>
            <w:pPr>
              <w:spacing w:after="0"/>
              <w:rPr>
                <w:sz w:val="15"/>
                <w:szCs w:val="15"/>
                <w:color w:val="auto"/>
              </w:rPr>
            </w:pPr>
          </w:p>
        </w:tc>
        <w:tc>
          <w:tcPr>
            <w:tcW w:w="12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0.4</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6000" w:type="dxa"/>
            <w:vAlign w:val="bottom"/>
            <w:gridSpan w:val="2"/>
          </w:tcPr>
          <w:p>
            <w:pPr>
              <w:ind w:left="360"/>
              <w:spacing w:after="0"/>
              <w:rPr>
                <w:sz w:val="20"/>
                <w:szCs w:val="20"/>
                <w:color w:val="auto"/>
              </w:rPr>
            </w:pPr>
            <w:r>
              <w:rPr>
                <w:rFonts w:ascii="Arial" w:cs="Arial" w:eastAsia="Arial" w:hAnsi="Arial"/>
                <w:sz w:val="14"/>
                <w:szCs w:val="14"/>
                <w:color w:val="auto"/>
              </w:rPr>
              <w:t>Shares used in calculating diluted earnings per share</w:t>
            </w:r>
          </w:p>
        </w:tc>
        <w:tc>
          <w:tcPr>
            <w:tcW w:w="40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161.3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171"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 xml:space="preserve">Earnings per share for the years ended December 31, 2020, 2019 and 2018, reflects the repurchase of approximately 22.4 million shares, 23.6 million shares and 14.8 million shares of our common stock, respectively, under our share repurchase programs. For additional information on our share repurchase programs, please read </w:t>
      </w:r>
      <w:r>
        <w:rPr>
          <w:rFonts w:ascii="Arial" w:cs="Arial" w:eastAsia="Arial" w:hAnsi="Arial"/>
          <w:sz w:val="18"/>
          <w:szCs w:val="18"/>
          <w:i w:val="1"/>
          <w:iCs w:val="1"/>
          <w:color w:val="auto"/>
        </w:rPr>
        <w:t>Note 13, Equity</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1" w:name="page142"/>
    <w:bookmarkEnd w:id="1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600" w:hanging="592"/>
        <w:spacing w:after="0"/>
        <w:tabs>
          <w:tab w:leader="none" w:pos="600" w:val="left"/>
        </w:tabs>
        <w:numPr>
          <w:ilvl w:val="0"/>
          <w:numId w:val="116"/>
        </w:numPr>
        <w:rPr>
          <w:rFonts w:ascii="Arial" w:cs="Arial" w:eastAsia="Arial" w:hAnsi="Arial"/>
          <w:sz w:val="22"/>
          <w:szCs w:val="22"/>
          <w:b w:val="1"/>
          <w:bCs w:val="1"/>
          <w:color w:val="578196"/>
        </w:rPr>
      </w:pPr>
      <w:r>
        <w:rPr>
          <w:rFonts w:ascii="Arial" w:cs="Arial" w:eastAsia="Arial" w:hAnsi="Arial"/>
          <w:sz w:val="22"/>
          <w:szCs w:val="22"/>
          <w:b w:val="1"/>
          <w:bCs w:val="1"/>
          <w:color w:val="578196"/>
        </w:rPr>
        <w:t>Share-Based Payments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Share-Based Compensation Expense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share-based compensation expense included in our consolidated statements of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80.0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75.8</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Borders>
              <w:bottom w:val="single" w:sz="8" w:color="auto"/>
            </w:tcBorders>
            <w:shd w:val="clear" w:color="auto" w:fill="DDDDDD"/>
          </w:tcPr>
          <w:p>
            <w:pPr>
              <w:spacing w:after="0"/>
              <w:rPr>
                <w:sz w:val="16"/>
                <w:szCs w:val="16"/>
                <w:color w:val="auto"/>
              </w:rPr>
            </w:pPr>
          </w:p>
        </w:tc>
        <w:tc>
          <w:tcPr>
            <w:tcW w:w="12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131.3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r>
      <w:tr>
        <w:trPr>
          <w:trHeight w:val="18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211.3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181.6</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DDDDD"/>
          </w:tcPr>
          <w:p>
            <w:pPr>
              <w:spacing w:after="0"/>
              <w:rPr>
                <w:sz w:val="16"/>
                <w:szCs w:val="16"/>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18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expenses</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170.1</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80" w:type="dxa"/>
            <w:vAlign w:val="bottom"/>
            <w:tcBorders>
              <w:bottom w:val="single" w:sz="8" w:color="auto"/>
            </w:tcBorders>
            <w:shd w:val="clear" w:color="auto" w:fill="DDDDDD"/>
          </w:tcPr>
          <w:p>
            <w:pPr>
              <w:spacing w:after="0"/>
              <w:rPr>
                <w:sz w:val="16"/>
                <w:szCs w:val="16"/>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(33.5)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r>
      <w:tr>
        <w:trPr>
          <w:trHeight w:val="203"/>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171.6</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180.8</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142.6</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Market stock units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40.5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9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142.6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126.6</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Cash settled performance units</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units</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NST stock options</w:t>
            </w:r>
          </w:p>
        </w:tc>
        <w:tc>
          <w:tcPr>
            <w:tcW w:w="380" w:type="dxa"/>
            <w:vAlign w:val="bottom"/>
            <w:tcBorders>
              <w:bottom w:val="single" w:sz="8" w:color="auto"/>
            </w:tcBorders>
            <w:shd w:val="clear" w:color="auto" w:fill="DDDDDD"/>
          </w:tcPr>
          <w:p>
            <w:pPr>
              <w:spacing w:after="0"/>
              <w:rPr>
                <w:sz w:val="16"/>
                <w:szCs w:val="16"/>
                <w:color w:val="auto"/>
              </w:rPr>
            </w:pPr>
          </w:p>
        </w:tc>
        <w:tc>
          <w:tcPr>
            <w:tcW w:w="12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211.3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181.6</w:t>
            </w:r>
          </w:p>
        </w:tc>
      </w:tr>
      <w:tr>
        <w:trPr>
          <w:trHeight w:val="187"/>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DDDDD"/>
          </w:tcPr>
          <w:p>
            <w:pPr>
              <w:spacing w:after="0"/>
              <w:rPr>
                <w:sz w:val="16"/>
                <w:szCs w:val="16"/>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(6.2)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03"/>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205.1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170.1</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firstLine="445"/>
        <w:spacing w:after="0" w:line="291" w:lineRule="auto"/>
        <w:rPr>
          <w:sz w:val="20"/>
          <w:szCs w:val="20"/>
          <w:color w:val="auto"/>
        </w:rPr>
      </w:pPr>
      <w:r>
        <w:rPr>
          <w:rFonts w:ascii="Arial" w:cs="Arial" w:eastAsia="Arial" w:hAnsi="Arial"/>
          <w:sz w:val="17"/>
          <w:szCs w:val="17"/>
          <w:color w:val="auto"/>
        </w:rPr>
        <w:t>As of December 31, 2020, unrecognized compensation cost related to unvested share-based compensation was approximately $207.6 million, net of estimated forfeitures. We expect to recognize the cost of these unvested awards over a weighted-average period of 1.9 years.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Share-Based Compensation Plans</w:t>
      </w:r>
    </w:p>
    <w:p>
      <w:pPr>
        <w:spacing w:after="0" w:line="126"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We have three share-based compensation plans pursuant to which awards are currently being made: (i) the Biogen Inc. 2006 Non-Employee Directors Equity Plan (2006 Directors Plan); (ii) the Biogen Inc. 2017 Omnibus Equity Plan (2017 Omnibus Equity Plan); and (iii) the Biogen Inc. 2015 Employee Stock Purchase Plan (2015 ESPP).</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Directors Plan</w:t>
      </w:r>
    </w:p>
    <w:p>
      <w:pPr>
        <w:spacing w:after="0" w:line="108" w:lineRule="exact"/>
        <w:rPr>
          <w:sz w:val="20"/>
          <w:szCs w:val="20"/>
          <w:color w:val="auto"/>
        </w:rPr>
      </w:pPr>
    </w:p>
    <w:p>
      <w:pPr>
        <w:ind w:right="40" w:firstLine="445"/>
        <w:spacing w:after="0" w:line="250" w:lineRule="auto"/>
        <w:rPr>
          <w:sz w:val="20"/>
          <w:szCs w:val="20"/>
          <w:color w:val="auto"/>
        </w:rPr>
      </w:pPr>
      <w:r>
        <w:rPr>
          <w:rFonts w:ascii="Arial" w:cs="Arial" w:eastAsia="Arial" w:hAnsi="Arial"/>
          <w:sz w:val="18"/>
          <w:szCs w:val="18"/>
          <w:color w:val="auto"/>
        </w:rPr>
        <w:t>In May 2006 our shareholders approved the 2006 Directors Plan for share-based awards to our directors. Awards granted from the 2006 Directors Plan may include stock options, shares of restricted stock, RSUs, stock appreciation rights and other awards in such amounts and with such terms and conditions as may be determined by a committee of our Board of Directors, subject to the provisions of the 2006 Directors Plan. We have reserved a total of 1.6 million shares of common stock for issuance under the 2006 Directors Plan. The</w:t>
      </w:r>
    </w:p>
    <w:p>
      <w:pPr>
        <w:spacing w:after="0" w:line="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2006 Directors Plan provides that awards other than stock options and stock appreciation rights will be counted against the total number of shares reserved under the plan in a 1.5-to-1 ratio. In June 2015 our shareholders approved an amendment to extend the term of the 2006 Directors Plan until June 2025.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2" w:name="page143"/>
    <w:bookmarkEnd w:id="1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Omnibus Plan</w:t>
      </w:r>
    </w:p>
    <w:p>
      <w:pPr>
        <w:spacing w:after="0" w:line="122"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June 2017 our shareholders approved the 2017 Omnibus Equity Plan for share-based awards to our employees. Awards granted from the 2017 Omnibus Equity Plan may include stock options, shares of restricted stock, RSUs, performance shares, stock appreciation rights and other awards in such amounts and with such terms and conditions as may be determined by a committee of our Board of Directors, subject to the provisions of the 2017 Omnibus Equity Plan. Shares of common stock available for grant under the 2017 Omnibus Equity Plan consist of 8.0 million shares reserved for this purpose, plus shares of common stock that remained available for grant under the Biogen Idec Inc. 2008 Omnibus Equity Plan (2008 Omnibus Equity Plan) as of June 7, 2017, or that could again become available for grant if outstanding awards under the 2008 Omnibus Equity Plan as of June 7, 2017, are cancelled, surrendered or terminated in whole or in part. The 2017 Omnibus Equity Plan provides that awards other than stock options and stock appreciation rights will be counted against the total number of shares available under the plan in a 1.5-to-1 ratio.</w:t>
      </w:r>
    </w:p>
    <w:p>
      <w:pPr>
        <w:spacing w:after="0" w:line="158"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We have not made any awards pursuant to the 2008 Omnibus Equity Plan since our shareholders approved the 2017 Omnibus Equity Plan, and do not intend to make any awards pursuant to the 2008 Omnibus Equity Plan in the future, except that unused shares under the 2008 Omnibus Equity Plan have been carried over for use under the 2017 Omnibus Equity Plan.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Stock Options</w:t>
      </w:r>
    </w:p>
    <w:p>
      <w:pPr>
        <w:spacing w:after="0" w:line="112"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currently do not grant stock options to our employees or directors. Outstanding stock options previously granted to our employees and directors generally have a 10-year term and vest over a period of between one and four years, provided the individual continues to serve at Biogen through the vesting dates. Options granted under all plans are exercisable at a price per share not less than the fair market value of the underlying common stock on the date of grant. As of December 31, 2020, all outstanding options were exercisable.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stock option activity:</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1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ind w:right="20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20"/>
                <w:szCs w:val="20"/>
                <w:color w:val="auto"/>
              </w:rPr>
            </w:pPr>
            <w:r>
              <w:rPr>
                <w:rFonts w:ascii="Arial" w:cs="Arial" w:eastAsia="Arial" w:hAnsi="Arial"/>
                <w:sz w:val="14"/>
                <w:szCs w:val="14"/>
                <w:color w:val="auto"/>
              </w:rPr>
              <w:t>Outstanding at December 31, 2019</w:t>
            </w:r>
          </w:p>
        </w:tc>
        <w:tc>
          <w:tcPr>
            <w:tcW w:w="1160" w:type="dxa"/>
            <w:vAlign w:val="bottom"/>
            <w:shd w:val="clear" w:color="auto" w:fill="DDDDDD"/>
          </w:tcPr>
          <w:p>
            <w:pPr>
              <w:spacing w:after="0"/>
              <w:rPr>
                <w:sz w:val="15"/>
                <w:szCs w:val="15"/>
                <w:color w:val="auto"/>
              </w:rPr>
            </w:pPr>
          </w:p>
        </w:tc>
        <w:tc>
          <w:tcPr>
            <w:tcW w:w="6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12,000</w:t>
            </w:r>
          </w:p>
        </w:tc>
        <w:tc>
          <w:tcPr>
            <w:tcW w:w="300" w:type="dxa"/>
            <w:vAlign w:val="bottom"/>
            <w:gridSpan w:val="2"/>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16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58.46</w:t>
            </w:r>
          </w:p>
        </w:tc>
        <w:tc>
          <w:tcPr>
            <w:tcW w:w="0" w:type="dxa"/>
            <w:vAlign w:val="bottom"/>
          </w:tcPr>
          <w:p>
            <w:pPr>
              <w:spacing w:after="0"/>
              <w:rPr>
                <w:sz w:val="1"/>
                <w:szCs w:val="1"/>
                <w:color w:val="auto"/>
              </w:rPr>
            </w:pPr>
          </w:p>
        </w:tc>
      </w:tr>
      <w:tr>
        <w:trPr>
          <w:trHeight w:val="189"/>
        </w:trPr>
        <w:tc>
          <w:tcPr>
            <w:tcW w:w="750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60" w:type="dxa"/>
            <w:vAlign w:val="bottom"/>
            <w:shd w:val="clear" w:color="auto" w:fill="DDDDDD"/>
          </w:tcPr>
          <w:p>
            <w:pPr>
              <w:spacing w:after="0"/>
              <w:rPr>
                <w:sz w:val="16"/>
                <w:szCs w:val="16"/>
                <w:color w:val="auto"/>
              </w:rPr>
            </w:pPr>
          </w:p>
        </w:tc>
        <w:tc>
          <w:tcPr>
            <w:tcW w:w="6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750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DDDDDD"/>
          </w:tcPr>
          <w:p>
            <w:pPr>
              <w:spacing w:after="0"/>
              <w:rPr>
                <w:sz w:val="16"/>
                <w:szCs w:val="16"/>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(12,000)</w:t>
            </w: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6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58.46</w:t>
            </w:r>
          </w:p>
        </w:tc>
        <w:tc>
          <w:tcPr>
            <w:tcW w:w="0" w:type="dxa"/>
            <w:vAlign w:val="bottom"/>
          </w:tcPr>
          <w:p>
            <w:pPr>
              <w:spacing w:after="0"/>
              <w:rPr>
                <w:sz w:val="1"/>
                <w:szCs w:val="1"/>
                <w:color w:val="auto"/>
              </w:rPr>
            </w:pPr>
          </w:p>
        </w:tc>
      </w:tr>
      <w:tr>
        <w:trPr>
          <w:trHeight w:val="189"/>
        </w:trPr>
        <w:tc>
          <w:tcPr>
            <w:tcW w:w="7500" w:type="dxa"/>
            <w:vAlign w:val="bottom"/>
          </w:tcPr>
          <w:p>
            <w:pPr>
              <w:ind w:left="120"/>
              <w:spacing w:after="0"/>
              <w:rPr>
                <w:sz w:val="20"/>
                <w:szCs w:val="20"/>
                <w:color w:val="auto"/>
              </w:rPr>
            </w:pPr>
            <w:r>
              <w:rPr>
                <w:rFonts w:ascii="Arial" w:cs="Arial" w:eastAsia="Arial" w:hAnsi="Arial"/>
                <w:sz w:val="14"/>
                <w:szCs w:val="14"/>
                <w:color w:val="auto"/>
              </w:rPr>
              <w:t>Cancelled</w:t>
            </w:r>
          </w:p>
        </w:tc>
        <w:tc>
          <w:tcPr>
            <w:tcW w:w="1160" w:type="dxa"/>
            <w:vAlign w:val="bottom"/>
            <w:tcBorders>
              <w:bottom w:val="single" w:sz="8" w:color="auto"/>
            </w:tcBorders>
            <w:shd w:val="clear" w:color="auto" w:fill="DDDDDD"/>
          </w:tcPr>
          <w:p>
            <w:pPr>
              <w:spacing w:after="0"/>
              <w:rPr>
                <w:sz w:val="16"/>
                <w:szCs w:val="16"/>
                <w:color w:val="auto"/>
              </w:rPr>
            </w:pPr>
          </w:p>
        </w:tc>
        <w:tc>
          <w:tcPr>
            <w:tcW w:w="6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16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8"/>
        </w:trPr>
        <w:tc>
          <w:tcPr>
            <w:tcW w:w="7500" w:type="dxa"/>
            <w:vAlign w:val="bottom"/>
          </w:tcPr>
          <w:p>
            <w:pPr>
              <w:spacing w:after="0"/>
              <w:rPr>
                <w:sz w:val="20"/>
                <w:szCs w:val="20"/>
                <w:color w:val="auto"/>
              </w:rPr>
            </w:pPr>
            <w:r>
              <w:rPr>
                <w:rFonts w:ascii="Arial" w:cs="Arial" w:eastAsia="Arial" w:hAnsi="Arial"/>
                <w:sz w:val="14"/>
                <w:szCs w:val="14"/>
                <w:color w:val="auto"/>
              </w:rPr>
              <w:t>Outstanding at December 31, 2020</w:t>
            </w:r>
          </w:p>
        </w:tc>
        <w:tc>
          <w:tcPr>
            <w:tcW w:w="1160" w:type="dxa"/>
            <w:vAlign w:val="bottom"/>
            <w:tcBorders>
              <w:bottom w:val="single" w:sz="8" w:color="auto"/>
            </w:tcBorders>
            <w:shd w:val="clear" w:color="auto" w:fill="DDDDDD"/>
          </w:tcPr>
          <w:p>
            <w:pPr>
              <w:spacing w:after="0"/>
              <w:rPr>
                <w:sz w:val="17"/>
                <w:szCs w:val="17"/>
                <w:color w:val="auto"/>
              </w:rPr>
            </w:pPr>
          </w:p>
        </w:tc>
        <w:tc>
          <w:tcPr>
            <w:tcW w:w="6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jc w:val="right"/>
              <w:ind w:right="28"/>
              <w:spacing w:after="0"/>
              <w:rPr>
                <w:sz w:val="20"/>
                <w:szCs w:val="20"/>
                <w:color w:val="auto"/>
              </w:rPr>
            </w:pPr>
            <w:r>
              <w:rPr>
                <w:rFonts w:ascii="Arial" w:cs="Arial" w:eastAsia="Arial" w:hAnsi="Arial"/>
                <w:sz w:val="14"/>
                <w:szCs w:val="14"/>
                <w:color w:val="2573BA"/>
              </w:rPr>
              <w:t>$</w:t>
            </w:r>
          </w:p>
        </w:tc>
        <w:tc>
          <w:tcPr>
            <w:tcW w:w="16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values of options exercised in 2020, 2019 and 2018 totaled $2.9 million, $4.2 million and $4.0 million, respectively.</w:t>
      </w:r>
    </w:p>
    <w:p>
      <w:pPr>
        <w:spacing w:after="0" w:line="171"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color w:val="auto"/>
        </w:rPr>
        <w:t>The following table summarizes the amount of tax benefit realized for stock options and cash received from the exercise of stock options: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6"/>
                <w:szCs w:val="16"/>
                <w:color w:val="auto"/>
              </w:rPr>
            </w:pPr>
          </w:p>
        </w:tc>
      </w:tr>
      <w:tr>
        <w:trPr>
          <w:trHeight w:val="18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183"/>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Tax benefit realized for stock options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ind w:left="1000"/>
              <w:spacing w:after="0"/>
              <w:rPr>
                <w:sz w:val="20"/>
                <w:szCs w:val="20"/>
                <w:color w:val="auto"/>
              </w:rPr>
            </w:pPr>
            <w:r>
              <w:rPr>
                <w:rFonts w:ascii="Arial" w:cs="Arial" w:eastAsia="Arial" w:hAnsi="Arial"/>
                <w:sz w:val="14"/>
                <w:szCs w:val="14"/>
                <w:color w:val="2573BA"/>
              </w:rPr>
              <w:t>2.9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6120" w:type="dxa"/>
            <w:vAlign w:val="bottom"/>
            <w:gridSpan w:val="2"/>
          </w:tcPr>
          <w:p>
            <w:pPr>
              <w:ind w:left="20"/>
              <w:spacing w:after="0"/>
              <w:rPr>
                <w:sz w:val="20"/>
                <w:szCs w:val="20"/>
                <w:color w:val="auto"/>
              </w:rPr>
            </w:pPr>
            <w:r>
              <w:rPr>
                <w:rFonts w:ascii="Arial" w:cs="Arial" w:eastAsia="Arial" w:hAnsi="Arial"/>
                <w:sz w:val="14"/>
                <w:szCs w:val="14"/>
                <w:color w:val="auto"/>
              </w:rPr>
              <w:t>Cash received from the exercise of stock options</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ind w:left="1000"/>
              <w:spacing w:after="0"/>
              <w:rPr>
                <w:sz w:val="20"/>
                <w:szCs w:val="20"/>
                <w:color w:val="auto"/>
              </w:rPr>
            </w:pPr>
            <w:r>
              <w:rPr>
                <w:rFonts w:ascii="Arial" w:cs="Arial" w:eastAsia="Arial" w:hAnsi="Arial"/>
                <w:sz w:val="14"/>
                <w:szCs w:val="14"/>
                <w:color w:val="2573BA"/>
              </w:rPr>
              <w:t>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w:t>
            </w: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Market Stock Units (MSUs)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MSUs awarded to employees prior to 2014 vested in four equal annual increments beginning on the first anniversary of the 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ultimately earn between zero and 150.0% of the target number of units granted based on actual stock performance.</w:t>
      </w:r>
    </w:p>
    <w:p>
      <w:pPr>
        <w:spacing w:after="0" w:line="171"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MSUs awarded to employees in 2014 and thereafter vest in three equal annual increments beginning on the first anniversary of the grant date, and participants may ultimately earn between zero and 200.0% of the target number of units granted based on actual stock performance.</w:t>
      </w:r>
    </w:p>
    <w:p>
      <w:pPr>
        <w:spacing w:after="0" w:line="148"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3" w:name="page144"/>
    <w:bookmarkEnd w:id="1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anniversary from the date of grant over the respective vesting periods, resulting in multiple performance periods. Accordingly, additional MSUs may be issued or currently outstanding MSUs may be cancelled upon final determination of the number of awards earned.</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MSU activity: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3"/>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2019</w:t>
            </w:r>
          </w:p>
        </w:tc>
        <w:tc>
          <w:tcPr>
            <w:tcW w:w="1460" w:type="dxa"/>
            <w:vAlign w:val="bottom"/>
            <w:shd w:val="clear" w:color="auto" w:fill="DDDDDD"/>
          </w:tcPr>
          <w:p>
            <w:pPr>
              <w:spacing w:after="0"/>
              <w:rPr>
                <w:sz w:val="15"/>
                <w:szCs w:val="15"/>
                <w:color w:val="auto"/>
              </w:rPr>
            </w:pPr>
          </w:p>
        </w:tc>
        <w:tc>
          <w:tcPr>
            <w:tcW w:w="720" w:type="dxa"/>
            <w:vAlign w:val="bottom"/>
            <w:shd w:val="clear" w:color="auto" w:fill="DDDDDD"/>
          </w:tcPr>
          <w:p>
            <w:pPr>
              <w:ind w:left="140"/>
              <w:spacing w:after="0"/>
              <w:rPr>
                <w:sz w:val="20"/>
                <w:szCs w:val="20"/>
                <w:color w:val="auto"/>
              </w:rPr>
            </w:pPr>
            <w:r>
              <w:rPr>
                <w:rFonts w:ascii="Arial" w:cs="Arial" w:eastAsia="Arial" w:hAnsi="Arial"/>
                <w:sz w:val="14"/>
                <w:szCs w:val="14"/>
                <w:color w:val="2573BA"/>
              </w:rPr>
              <w:t>183,000</w:t>
            </w:r>
          </w:p>
        </w:tc>
        <w:tc>
          <w:tcPr>
            <w:tcW w:w="3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378.09</w:t>
            </w:r>
          </w:p>
        </w:tc>
        <w:tc>
          <w:tcPr>
            <w:tcW w:w="0" w:type="dxa"/>
            <w:vAlign w:val="bottom"/>
          </w:tcPr>
          <w:p>
            <w:pPr>
              <w:spacing w:after="0"/>
              <w:rPr>
                <w:sz w:val="1"/>
                <w:szCs w:val="1"/>
                <w:color w:val="auto"/>
              </w:rPr>
            </w:pPr>
          </w:p>
        </w:tc>
      </w:tr>
      <w:tr>
        <w:trPr>
          <w:trHeight w:val="189"/>
        </w:trPr>
        <w:tc>
          <w:tcPr>
            <w:tcW w:w="670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460" w:type="dxa"/>
            <w:vAlign w:val="bottom"/>
            <w:shd w:val="clear" w:color="auto" w:fill="DDDDDD"/>
          </w:tcPr>
          <w:p>
            <w:pPr>
              <w:spacing w:after="0"/>
              <w:rPr>
                <w:sz w:val="16"/>
                <w:szCs w:val="16"/>
                <w:color w:val="auto"/>
              </w:rPr>
            </w:pPr>
          </w:p>
        </w:tc>
        <w:tc>
          <w:tcPr>
            <w:tcW w:w="720" w:type="dxa"/>
            <w:vAlign w:val="bottom"/>
            <w:shd w:val="clear" w:color="auto" w:fill="DDDDDD"/>
          </w:tcPr>
          <w:p>
            <w:pPr>
              <w:ind w:left="140"/>
              <w:spacing w:after="0"/>
              <w:rPr>
                <w:sz w:val="20"/>
                <w:szCs w:val="20"/>
                <w:color w:val="auto"/>
              </w:rPr>
            </w:pPr>
            <w:r>
              <w:rPr>
                <w:rFonts w:ascii="Arial" w:cs="Arial" w:eastAsia="Arial" w:hAnsi="Arial"/>
                <w:sz w:val="14"/>
                <w:szCs w:val="14"/>
                <w:color w:val="2573BA"/>
              </w:rPr>
              <w:t>133,000</w:t>
            </w: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398.61</w:t>
            </w:r>
          </w:p>
        </w:tc>
        <w:tc>
          <w:tcPr>
            <w:tcW w:w="0" w:type="dxa"/>
            <w:vAlign w:val="bottom"/>
          </w:tcPr>
          <w:p>
            <w:pPr>
              <w:spacing w:after="0"/>
              <w:rPr>
                <w:sz w:val="1"/>
                <w:szCs w:val="1"/>
                <w:color w:val="auto"/>
              </w:rPr>
            </w:pPr>
          </w:p>
        </w:tc>
      </w:tr>
      <w:tr>
        <w:trPr>
          <w:trHeight w:val="189"/>
        </w:trPr>
        <w:tc>
          <w:tcPr>
            <w:tcW w:w="670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60" w:type="dxa"/>
            <w:vAlign w:val="bottom"/>
            <w:shd w:val="clear" w:color="auto" w:fill="DDDDDD"/>
          </w:tcPr>
          <w:p>
            <w:pPr>
              <w:spacing w:after="0"/>
              <w:rPr>
                <w:sz w:val="16"/>
                <w:szCs w:val="16"/>
                <w:color w:val="auto"/>
              </w:rPr>
            </w:pPr>
          </w:p>
        </w:tc>
        <w:tc>
          <w:tcPr>
            <w:tcW w:w="720" w:type="dxa"/>
            <w:vAlign w:val="bottom"/>
            <w:shd w:val="clear" w:color="auto" w:fill="DDDDDD"/>
          </w:tcPr>
          <w:p>
            <w:pPr>
              <w:ind w:left="160"/>
              <w:spacing w:after="0"/>
              <w:rPr>
                <w:sz w:val="20"/>
                <w:szCs w:val="20"/>
                <w:color w:val="auto"/>
              </w:rPr>
            </w:pPr>
            <w:r>
              <w:rPr>
                <w:rFonts w:ascii="Arial" w:cs="Arial" w:eastAsia="Arial" w:hAnsi="Arial"/>
                <w:sz w:val="14"/>
                <w:szCs w:val="14"/>
                <w:color w:val="2573BA"/>
              </w:rPr>
              <w:t>(82,000)</w:t>
            </w: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375.42</w:t>
            </w:r>
          </w:p>
        </w:tc>
        <w:tc>
          <w:tcPr>
            <w:tcW w:w="0" w:type="dxa"/>
            <w:vAlign w:val="bottom"/>
          </w:tcPr>
          <w:p>
            <w:pPr>
              <w:spacing w:after="0"/>
              <w:rPr>
                <w:sz w:val="1"/>
                <w:szCs w:val="1"/>
                <w:color w:val="auto"/>
              </w:rPr>
            </w:pPr>
          </w:p>
        </w:tc>
      </w:tr>
      <w:tr>
        <w:trPr>
          <w:trHeight w:val="189"/>
        </w:trPr>
        <w:tc>
          <w:tcPr>
            <w:tcW w:w="670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60" w:type="dxa"/>
            <w:vAlign w:val="bottom"/>
            <w:tcBorders>
              <w:bottom w:val="single" w:sz="8" w:color="auto"/>
            </w:tcBorders>
            <w:shd w:val="clear" w:color="auto" w:fill="DDDDDD"/>
          </w:tcPr>
          <w:p>
            <w:pPr>
              <w:spacing w:after="0"/>
              <w:rPr>
                <w:sz w:val="16"/>
                <w:szCs w:val="16"/>
                <w:color w:val="auto"/>
              </w:rPr>
            </w:pPr>
          </w:p>
        </w:tc>
        <w:tc>
          <w:tcPr>
            <w:tcW w:w="720" w:type="dxa"/>
            <w:vAlign w:val="bottom"/>
            <w:tcBorders>
              <w:bottom w:val="single" w:sz="8" w:color="auto"/>
            </w:tcBorders>
            <w:shd w:val="clear" w:color="auto" w:fill="DDDDDD"/>
          </w:tcPr>
          <w:p>
            <w:pPr>
              <w:ind w:left="160"/>
              <w:spacing w:after="0"/>
              <w:rPr>
                <w:sz w:val="20"/>
                <w:szCs w:val="20"/>
                <w:color w:val="auto"/>
              </w:rPr>
            </w:pPr>
            <w:r>
              <w:rPr>
                <w:rFonts w:ascii="Arial" w:cs="Arial" w:eastAsia="Arial" w:hAnsi="Arial"/>
                <w:sz w:val="14"/>
                <w:szCs w:val="14"/>
                <w:color w:val="2573BA"/>
              </w:rPr>
              <w:t>(33,000)</w:t>
            </w:r>
          </w:p>
        </w:tc>
        <w:tc>
          <w:tcPr>
            <w:tcW w:w="10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96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402.62</w:t>
            </w:r>
          </w:p>
        </w:tc>
        <w:tc>
          <w:tcPr>
            <w:tcW w:w="0" w:type="dxa"/>
            <w:vAlign w:val="bottom"/>
          </w:tcPr>
          <w:p>
            <w:pPr>
              <w:spacing w:after="0"/>
              <w:rPr>
                <w:sz w:val="1"/>
                <w:szCs w:val="1"/>
                <w:color w:val="auto"/>
              </w:rPr>
            </w:pPr>
          </w:p>
        </w:tc>
      </w:tr>
      <w:tr>
        <w:trPr>
          <w:trHeight w:val="208"/>
        </w:trPr>
        <w:tc>
          <w:tcPr>
            <w:tcW w:w="670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2020</w:t>
            </w:r>
          </w:p>
        </w:tc>
        <w:tc>
          <w:tcPr>
            <w:tcW w:w="1460" w:type="dxa"/>
            <w:vAlign w:val="bottom"/>
            <w:tcBorders>
              <w:bottom w:val="single" w:sz="8" w:color="auto"/>
            </w:tcBorders>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ind w:left="140"/>
              <w:spacing w:after="0"/>
              <w:rPr>
                <w:sz w:val="20"/>
                <w:szCs w:val="20"/>
                <w:color w:val="auto"/>
              </w:rPr>
            </w:pPr>
            <w:r>
              <w:rPr>
                <w:rFonts w:ascii="Arial" w:cs="Arial" w:eastAsia="Arial" w:hAnsi="Arial"/>
                <w:sz w:val="14"/>
                <w:szCs w:val="14"/>
                <w:color w:val="2573BA"/>
              </w:rPr>
              <w:t>201,000</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388.98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9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380" w:type="dxa"/>
            <w:vAlign w:val="bottom"/>
            <w:tcBorders>
              <w:bottom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180" w:firstLine="8"/>
        <w:spacing w:after="0" w:line="239" w:lineRule="auto"/>
        <w:tabs>
          <w:tab w:leader="none" w:pos="173" w:val="left"/>
        </w:tabs>
        <w:numPr>
          <w:ilvl w:val="0"/>
          <w:numId w:val="117"/>
        </w:numPr>
        <w:rPr>
          <w:rFonts w:ascii="Arial" w:cs="Arial" w:eastAsia="Arial" w:hAnsi="Arial"/>
          <w:sz w:val="20"/>
          <w:szCs w:val="20"/>
          <w:color w:val="auto"/>
          <w:vertAlign w:val="superscript"/>
        </w:rPr>
      </w:pPr>
      <w:r>
        <w:rPr>
          <w:rFonts w:ascii="Arial" w:cs="Arial" w:eastAsia="Arial" w:hAnsi="Arial"/>
          <w:sz w:val="15"/>
          <w:szCs w:val="15"/>
          <w:color w:val="auto"/>
        </w:rPr>
        <w:t>MSUs granted during 2020 include awards granted in conjunction with our annual awards made in February 2020 and MSUs granted in conjunction with the hiring of employees. These grants reflect the target number of shares eligible to be earned at the time of grant. MSUs granted in 2020 also reflect an adjustment based upon the final performance multiplier in relation to shares granted in 2019, 2018 and 2017.</w:t>
      </w:r>
    </w:p>
    <w:p>
      <w:pPr>
        <w:spacing w:after="0" w:line="154"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We value grants of MSUs using a lattice model with a Monte Carlo simulation. This valuation methodology utilizes several key assumptions, the 30 calendar day average closing stock price on the date of grant for MSUs, expected volatility of our stock price, risk-free rates of return and expected dividend yield.</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in our valuation are summarized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3"/>
        </w:trPr>
        <w:tc>
          <w:tcPr>
            <w:tcW w:w="4920" w:type="dxa"/>
            <w:vAlign w:val="bottom"/>
          </w:tcPr>
          <w:p>
            <w:pPr>
              <w:spacing w:after="0"/>
              <w:rPr>
                <w:sz w:val="15"/>
                <w:szCs w:val="15"/>
                <w:color w:val="auto"/>
              </w:rPr>
            </w:pPr>
          </w:p>
        </w:tc>
        <w:tc>
          <w:tcPr>
            <w:tcW w:w="1780" w:type="dxa"/>
            <w:vAlign w:val="bottom"/>
            <w:tcBorders>
              <w:bottom w:val="single" w:sz="8" w:color="auto"/>
            </w:tcBorders>
            <w:gridSpan w:val="2"/>
            <w:shd w:val="clear" w:color="auto" w:fill="DDDDDD"/>
          </w:tcPr>
          <w:p>
            <w:pPr>
              <w:jc w:val="center"/>
              <w:ind w:left="188"/>
              <w:spacing w:after="0"/>
              <w:rPr>
                <w:sz w:val="20"/>
                <w:szCs w:val="20"/>
                <w:color w:val="auto"/>
              </w:rPr>
            </w:pPr>
            <w:r>
              <w:rPr>
                <w:rFonts w:ascii="Arial" w:cs="Arial" w:eastAsia="Arial" w:hAnsi="Arial"/>
                <w:sz w:val="14"/>
                <w:szCs w:val="14"/>
                <w:b w:val="1"/>
                <w:bCs w:val="1"/>
                <w:color w:val="2573BA"/>
              </w:rPr>
              <w:t>2020</w:t>
            </w:r>
          </w:p>
        </w:tc>
        <w:tc>
          <w:tcPr>
            <w:tcW w:w="26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right="188"/>
              <w:spacing w:after="0"/>
              <w:rPr>
                <w:sz w:val="20"/>
                <w:szCs w:val="20"/>
                <w:color w:val="auto"/>
              </w:rPr>
            </w:pPr>
            <w:r>
              <w:rPr>
                <w:rFonts w:ascii="Arial" w:cs="Arial" w:eastAsia="Arial" w:hAnsi="Arial"/>
                <w:sz w:val="14"/>
                <w:szCs w:val="14"/>
                <w:b w:val="1"/>
                <w:bCs w:val="1"/>
                <w:color w:val="auto"/>
              </w:rPr>
              <w:t>2018</w:t>
            </w:r>
          </w:p>
        </w:tc>
      </w:tr>
      <w:tr>
        <w:trPr>
          <w:trHeight w:val="184"/>
        </w:trPr>
        <w:tc>
          <w:tcPr>
            <w:tcW w:w="492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780" w:type="dxa"/>
            <w:vAlign w:val="bottom"/>
            <w:gridSpan w:val="2"/>
            <w:shd w:val="clear" w:color="auto" w:fill="DDDDDD"/>
          </w:tcPr>
          <w:p>
            <w:pPr>
              <w:jc w:val="center"/>
              <w:ind w:left="188"/>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center"/>
              <w:ind w:right="3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center"/>
              <w:ind w:right="168"/>
              <w:spacing w:after="0"/>
              <w:rPr>
                <w:sz w:val="20"/>
                <w:szCs w:val="20"/>
                <w:color w:val="auto"/>
              </w:rPr>
            </w:pPr>
            <w:r>
              <w:rPr>
                <w:rFonts w:ascii="Arial" w:cs="Arial" w:eastAsia="Arial" w:hAnsi="Arial"/>
                <w:sz w:val="14"/>
                <w:szCs w:val="14"/>
                <w:color w:val="auto"/>
                <w:w w:val="98"/>
              </w:rPr>
              <w:t>—%</w:t>
            </w: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Range of expected stock price volatility</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37.8%</w:t>
            </w:r>
          </w:p>
        </w:tc>
        <w:tc>
          <w:tcPr>
            <w:tcW w:w="800" w:type="dxa"/>
            <w:vAlign w:val="bottom"/>
            <w:shd w:val="clear" w:color="auto" w:fill="DDDDDD"/>
          </w:tcPr>
          <w:p>
            <w:pPr>
              <w:ind w:left="20"/>
              <w:spacing w:after="0"/>
              <w:rPr>
                <w:sz w:val="20"/>
                <w:szCs w:val="20"/>
                <w:color w:val="auto"/>
              </w:rPr>
            </w:pPr>
            <w:r>
              <w:rPr>
                <w:rFonts w:ascii="Arial" w:cs="Arial" w:eastAsia="Arial" w:hAnsi="Arial"/>
                <w:sz w:val="14"/>
                <w:szCs w:val="14"/>
                <w:color w:val="2573BA"/>
              </w:rPr>
              <w:t>- 44.1%</w:t>
            </w:r>
          </w:p>
        </w:tc>
        <w:tc>
          <w:tcPr>
            <w:tcW w:w="260" w:type="dxa"/>
            <w:vAlign w:val="bottom"/>
            <w:shd w:val="clear" w:color="auto" w:fill="DDDDDD"/>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31.2%</w:t>
            </w:r>
          </w:p>
        </w:tc>
        <w:tc>
          <w:tcPr>
            <w:tcW w:w="1040" w:type="dxa"/>
            <w:vAlign w:val="bottom"/>
          </w:tcPr>
          <w:p>
            <w:pPr>
              <w:ind w:left="20"/>
              <w:spacing w:after="0"/>
              <w:rPr>
                <w:sz w:val="20"/>
                <w:szCs w:val="20"/>
                <w:color w:val="auto"/>
              </w:rPr>
            </w:pPr>
            <w:r>
              <w:rPr>
                <w:rFonts w:ascii="Arial" w:cs="Arial" w:eastAsia="Arial" w:hAnsi="Arial"/>
                <w:sz w:val="14"/>
                <w:szCs w:val="14"/>
                <w:color w:val="auto"/>
              </w:rPr>
              <w:t>- 33.6%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w:t>
            </w:r>
          </w:p>
        </w:tc>
        <w:tc>
          <w:tcPr>
            <w:tcW w:w="1060" w:type="dxa"/>
            <w:vAlign w:val="bottom"/>
          </w:tcPr>
          <w:p>
            <w:pPr>
              <w:ind w:left="20"/>
              <w:spacing w:after="0"/>
              <w:rPr>
                <w:sz w:val="20"/>
                <w:szCs w:val="20"/>
                <w:color w:val="auto"/>
              </w:rPr>
            </w:pPr>
            <w:r>
              <w:rPr>
                <w:rFonts w:ascii="Arial" w:cs="Arial" w:eastAsia="Arial" w:hAnsi="Arial"/>
                <w:sz w:val="14"/>
                <w:szCs w:val="14"/>
                <w:color w:val="auto"/>
              </w:rPr>
              <w:t>- 32.4%</w:t>
            </w: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Range of risk-free interest rates</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1.41%</w:t>
            </w:r>
          </w:p>
        </w:tc>
        <w:tc>
          <w:tcPr>
            <w:tcW w:w="800" w:type="dxa"/>
            <w:vAlign w:val="bottom"/>
            <w:shd w:val="clear" w:color="auto" w:fill="DDDDDD"/>
          </w:tcPr>
          <w:p>
            <w:pPr>
              <w:ind w:left="20"/>
              <w:spacing w:after="0"/>
              <w:rPr>
                <w:sz w:val="20"/>
                <w:szCs w:val="20"/>
                <w:color w:val="auto"/>
              </w:rPr>
            </w:pPr>
            <w:r>
              <w:rPr>
                <w:rFonts w:ascii="Arial" w:cs="Arial" w:eastAsia="Arial" w:hAnsi="Arial"/>
                <w:sz w:val="14"/>
                <w:szCs w:val="14"/>
                <w:color w:val="2573BA"/>
              </w:rPr>
              <w:t>- 1.48%</w:t>
            </w:r>
          </w:p>
        </w:tc>
        <w:tc>
          <w:tcPr>
            <w:tcW w:w="260" w:type="dxa"/>
            <w:vAlign w:val="bottom"/>
            <w:shd w:val="clear" w:color="auto" w:fill="DDDDDD"/>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2.46%</w:t>
            </w:r>
          </w:p>
        </w:tc>
        <w:tc>
          <w:tcPr>
            <w:tcW w:w="1040" w:type="dxa"/>
            <w:vAlign w:val="bottom"/>
          </w:tcPr>
          <w:p>
            <w:pPr>
              <w:ind w:left="20"/>
              <w:spacing w:after="0"/>
              <w:rPr>
                <w:sz w:val="20"/>
                <w:szCs w:val="20"/>
                <w:color w:val="auto"/>
              </w:rPr>
            </w:pPr>
            <w:r>
              <w:rPr>
                <w:rFonts w:ascii="Arial" w:cs="Arial" w:eastAsia="Arial" w:hAnsi="Arial"/>
                <w:sz w:val="14"/>
                <w:szCs w:val="14"/>
                <w:color w:val="auto"/>
              </w:rPr>
              <w:t>- 2.53%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1060" w:type="dxa"/>
            <w:vAlign w:val="bottom"/>
          </w:tcPr>
          <w:p>
            <w:pPr>
              <w:ind w:left="20"/>
              <w:spacing w:after="0"/>
              <w:rPr>
                <w:sz w:val="20"/>
                <w:szCs w:val="20"/>
                <w:color w:val="auto"/>
              </w:rPr>
            </w:pPr>
            <w:r>
              <w:rPr>
                <w:rFonts w:ascii="Arial" w:cs="Arial" w:eastAsia="Arial" w:hAnsi="Arial"/>
                <w:sz w:val="14"/>
                <w:szCs w:val="14"/>
                <w:color w:val="auto"/>
              </w:rPr>
              <w:t>- 2.3%</w:t>
            </w: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30 calendar day average stock price on grant date</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$257.83</w:t>
            </w:r>
          </w:p>
        </w:tc>
        <w:tc>
          <w:tcPr>
            <w:tcW w:w="800" w:type="dxa"/>
            <w:vAlign w:val="bottom"/>
            <w:shd w:val="clear" w:color="auto" w:fill="DDDDDD"/>
          </w:tcPr>
          <w:p>
            <w:pPr>
              <w:ind w:left="20"/>
              <w:spacing w:after="0"/>
              <w:rPr>
                <w:sz w:val="20"/>
                <w:szCs w:val="20"/>
                <w:color w:val="auto"/>
              </w:rPr>
            </w:pPr>
            <w:r>
              <w:rPr>
                <w:rFonts w:ascii="Arial" w:cs="Arial" w:eastAsia="Arial" w:hAnsi="Arial"/>
                <w:sz w:val="14"/>
                <w:szCs w:val="14"/>
                <w:color w:val="2573BA"/>
              </w:rPr>
              <w:t>- $325.40</w:t>
            </w:r>
          </w:p>
        </w:tc>
        <w:tc>
          <w:tcPr>
            <w:tcW w:w="260" w:type="dxa"/>
            <w:vAlign w:val="bottom"/>
            <w:shd w:val="clear" w:color="auto" w:fill="DDDDDD"/>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$228.59</w:t>
            </w:r>
          </w:p>
        </w:tc>
        <w:tc>
          <w:tcPr>
            <w:tcW w:w="1040" w:type="dxa"/>
            <w:vAlign w:val="bottom"/>
          </w:tcPr>
          <w:p>
            <w:pPr>
              <w:ind w:left="20"/>
              <w:spacing w:after="0"/>
              <w:rPr>
                <w:sz w:val="20"/>
                <w:szCs w:val="20"/>
                <w:color w:val="auto"/>
              </w:rPr>
            </w:pPr>
            <w:r>
              <w:rPr>
                <w:rFonts w:ascii="Arial" w:cs="Arial" w:eastAsia="Arial" w:hAnsi="Arial"/>
                <w:sz w:val="14"/>
                <w:szCs w:val="14"/>
                <w:color w:val="auto"/>
              </w:rPr>
              <w:t>- $331.18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$279.47</w:t>
            </w:r>
          </w:p>
        </w:tc>
        <w:tc>
          <w:tcPr>
            <w:tcW w:w="1060" w:type="dxa"/>
            <w:vAlign w:val="bottom"/>
          </w:tcPr>
          <w:p>
            <w:pPr>
              <w:ind w:left="20"/>
              <w:spacing w:after="0"/>
              <w:rPr>
                <w:sz w:val="20"/>
                <w:szCs w:val="20"/>
                <w:color w:val="auto"/>
              </w:rPr>
            </w:pPr>
            <w:r>
              <w:rPr>
                <w:rFonts w:ascii="Arial" w:cs="Arial" w:eastAsia="Arial" w:hAnsi="Arial"/>
                <w:sz w:val="14"/>
                <w:szCs w:val="14"/>
                <w:color w:val="auto"/>
              </w:rPr>
              <w:t>- $346.76</w:t>
            </w:r>
          </w:p>
        </w:tc>
      </w:tr>
      <w:tr>
        <w:trPr>
          <w:trHeight w:val="188"/>
        </w:trPr>
        <w:tc>
          <w:tcPr>
            <w:tcW w:w="4920" w:type="dxa"/>
            <w:vAlign w:val="bottom"/>
          </w:tcPr>
          <w:p>
            <w:pPr>
              <w:spacing w:after="0"/>
              <w:rPr>
                <w:sz w:val="20"/>
                <w:szCs w:val="20"/>
                <w:color w:val="auto"/>
              </w:rPr>
            </w:pPr>
            <w:r>
              <w:rPr>
                <w:rFonts w:ascii="Arial" w:cs="Arial" w:eastAsia="Arial" w:hAnsi="Arial"/>
                <w:sz w:val="14"/>
                <w:szCs w:val="14"/>
                <w:color w:val="auto"/>
              </w:rPr>
              <w:t>Weighted-average per share grant date fair value</w:t>
            </w:r>
          </w:p>
        </w:tc>
        <w:tc>
          <w:tcPr>
            <w:tcW w:w="1780" w:type="dxa"/>
            <w:vAlign w:val="bottom"/>
            <w:gridSpan w:val="2"/>
            <w:shd w:val="clear" w:color="auto" w:fill="DDDDDD"/>
          </w:tcPr>
          <w:p>
            <w:pPr>
              <w:jc w:val="center"/>
              <w:ind w:left="188"/>
              <w:spacing w:after="0"/>
              <w:rPr>
                <w:sz w:val="20"/>
                <w:szCs w:val="20"/>
                <w:color w:val="auto"/>
              </w:rPr>
            </w:pPr>
            <w:r>
              <w:rPr>
                <w:rFonts w:ascii="Arial" w:cs="Arial" w:eastAsia="Arial" w:hAnsi="Arial"/>
                <w:sz w:val="14"/>
                <w:szCs w:val="14"/>
                <w:color w:val="2573BA"/>
              </w:rPr>
              <w:t>$398.61</w:t>
            </w:r>
          </w:p>
        </w:tc>
        <w:tc>
          <w:tcPr>
            <w:tcW w:w="260" w:type="dxa"/>
            <w:vAlign w:val="bottom"/>
            <w:shd w:val="clear" w:color="auto" w:fill="DDDDDD"/>
          </w:tcPr>
          <w:p>
            <w:pPr>
              <w:spacing w:after="0"/>
              <w:rPr>
                <w:sz w:val="16"/>
                <w:szCs w:val="16"/>
                <w:color w:val="auto"/>
              </w:rPr>
            </w:pPr>
          </w:p>
        </w:tc>
        <w:tc>
          <w:tcPr>
            <w:tcW w:w="2120" w:type="dxa"/>
            <w:vAlign w:val="bottom"/>
            <w:gridSpan w:val="3"/>
          </w:tcPr>
          <w:p>
            <w:pPr>
              <w:jc w:val="center"/>
              <w:ind w:left="48"/>
              <w:spacing w:after="0"/>
              <w:rPr>
                <w:sz w:val="20"/>
                <w:szCs w:val="20"/>
                <w:color w:val="auto"/>
              </w:rPr>
            </w:pPr>
            <w:r>
              <w:rPr>
                <w:rFonts w:ascii="Arial" w:cs="Arial" w:eastAsia="Arial" w:hAnsi="Arial"/>
                <w:sz w:val="14"/>
                <w:szCs w:val="14"/>
                <w:color w:val="auto"/>
              </w:rPr>
              <w:t>$378.08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188"/>
              <w:spacing w:after="0"/>
              <w:rPr>
                <w:sz w:val="20"/>
                <w:szCs w:val="20"/>
                <w:color w:val="auto"/>
              </w:rPr>
            </w:pPr>
            <w:r>
              <w:rPr>
                <w:rFonts w:ascii="Arial" w:cs="Arial" w:eastAsia="Arial" w:hAnsi="Arial"/>
                <w:sz w:val="14"/>
                <w:szCs w:val="14"/>
                <w:color w:val="auto"/>
              </w:rPr>
              <w:t>$378.85</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MSUs vested in 2020, 2019 and 2018 totaled $26.9 million, $32.5 million and $26.9 million, respectively.</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Cash Settled Performance Units (CSPUs)</w:t>
      </w:r>
    </w:p>
    <w:p>
      <w:pPr>
        <w:spacing w:after="0" w:line="11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CSPUs awarded to employees vest in three equal annual increments beginning on the first anniversary of the grant date. The vesting of these awards is subject to the respective employee’s continued employment with such awards settled in cash. The number of CSPUs granted represents the target number of units that are eligible to be earned based on the attainment of certain performance measures established at the beginning of the performance period, which ends on December 31 of each year. Participants may ultimately earn between zero and 200.0% of the target number of units granted based on the degree of actual performance metric achievement. Accordingly, additional CSPUs may be issued or currently outstanding CSPUs may be cancelled upon final determination of the number of units earned. CSPUs are classified as liability awards and will be settled in cash based on the 30 calendar day average closing stock price through each vesting date, once the actual vested and earned number of units is known. Since no shares are issued, these awards do not dilute equity.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CSPU activity:</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200" w:type="dxa"/>
            <w:vAlign w:val="bottom"/>
          </w:tcPr>
          <w:p>
            <w:pPr>
              <w:spacing w:after="0"/>
              <w:rPr>
                <w:sz w:val="16"/>
                <w:szCs w:val="16"/>
                <w:color w:val="auto"/>
              </w:rPr>
            </w:pPr>
          </w:p>
        </w:tc>
        <w:tc>
          <w:tcPr>
            <w:tcW w:w="19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Shares</w:t>
            </w:r>
          </w:p>
        </w:tc>
      </w:tr>
      <w:tr>
        <w:trPr>
          <w:trHeight w:val="183"/>
        </w:trPr>
        <w:tc>
          <w:tcPr>
            <w:tcW w:w="9200" w:type="dxa"/>
            <w:vAlign w:val="bottom"/>
          </w:tcPr>
          <w:p>
            <w:pPr>
              <w:spacing w:after="0"/>
              <w:rPr>
                <w:sz w:val="20"/>
                <w:szCs w:val="20"/>
                <w:color w:val="auto"/>
              </w:rPr>
            </w:pPr>
            <w:r>
              <w:rPr>
                <w:rFonts w:ascii="Arial" w:cs="Arial" w:eastAsia="Arial" w:hAnsi="Arial"/>
                <w:sz w:val="14"/>
                <w:szCs w:val="14"/>
                <w:color w:val="auto"/>
              </w:rPr>
              <w:t>Unvested at December 31, 2019</w:t>
            </w:r>
          </w:p>
        </w:tc>
        <w:tc>
          <w:tcPr>
            <w:tcW w:w="1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13,000</w:t>
            </w:r>
          </w:p>
        </w:tc>
      </w:tr>
      <w:tr>
        <w:trPr>
          <w:trHeight w:val="190"/>
        </w:trPr>
        <w:tc>
          <w:tcPr>
            <w:tcW w:w="9200" w:type="dxa"/>
            <w:vAlign w:val="bottom"/>
          </w:tcPr>
          <w:p>
            <w:pPr>
              <w:ind w:left="120"/>
              <w:spacing w:after="0"/>
              <w:rPr>
                <w:sz w:val="20"/>
                <w:szCs w:val="20"/>
                <w:color w:val="auto"/>
              </w:rPr>
            </w:pPr>
            <w:r>
              <w:rPr>
                <w:rFonts w:ascii="Arial" w:cs="Arial" w:eastAsia="Arial" w:hAnsi="Arial"/>
                <w:sz w:val="14"/>
                <w:szCs w:val="14"/>
                <w:color w:val="auto"/>
              </w:rPr>
              <w:t>Granted</w:t>
            </w:r>
          </w:p>
        </w:tc>
        <w:tc>
          <w:tcPr>
            <w:tcW w:w="1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189"/>
        </w:trPr>
        <w:tc>
          <w:tcPr>
            <w:tcW w:w="9200" w:type="dxa"/>
            <w:vAlign w:val="bottom"/>
          </w:tcPr>
          <w:p>
            <w:pPr>
              <w:ind w:left="120"/>
              <w:spacing w:after="0"/>
              <w:rPr>
                <w:sz w:val="20"/>
                <w:szCs w:val="20"/>
                <w:color w:val="auto"/>
              </w:rPr>
            </w:pPr>
            <w:r>
              <w:rPr>
                <w:rFonts w:ascii="Arial" w:cs="Arial" w:eastAsia="Arial" w:hAnsi="Arial"/>
                <w:sz w:val="14"/>
                <w:szCs w:val="14"/>
                <w:color w:val="auto"/>
              </w:rPr>
              <w:t>Vested</w:t>
            </w:r>
          </w:p>
        </w:tc>
        <w:tc>
          <w:tcPr>
            <w:tcW w:w="1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(13,000)</w:t>
            </w:r>
          </w:p>
        </w:tc>
      </w:tr>
      <w:tr>
        <w:trPr>
          <w:trHeight w:val="188"/>
        </w:trPr>
        <w:tc>
          <w:tcPr>
            <w:tcW w:w="920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208"/>
        </w:trPr>
        <w:tc>
          <w:tcPr>
            <w:tcW w:w="9200" w:type="dxa"/>
            <w:vAlign w:val="bottom"/>
          </w:tcPr>
          <w:p>
            <w:pPr>
              <w:spacing w:after="0"/>
              <w:rPr>
                <w:sz w:val="20"/>
                <w:szCs w:val="20"/>
                <w:color w:val="auto"/>
              </w:rPr>
            </w:pPr>
            <w:r>
              <w:rPr>
                <w:rFonts w:ascii="Arial" w:cs="Arial" w:eastAsia="Arial" w:hAnsi="Arial"/>
                <w:sz w:val="14"/>
                <w:szCs w:val="14"/>
                <w:color w:val="auto"/>
              </w:rPr>
              <w:t>Unvested at December 31, 2020</w:t>
            </w:r>
          </w:p>
        </w:tc>
        <w:tc>
          <w:tcPr>
            <w:tcW w:w="1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20"/>
        </w:trPr>
        <w:tc>
          <w:tcPr>
            <w:tcW w:w="9200" w:type="dxa"/>
            <w:vAlign w:val="bottom"/>
          </w:tcPr>
          <w:p>
            <w:pPr>
              <w:spacing w:after="0" w:line="20" w:lineRule="exact"/>
              <w:rPr>
                <w:sz w:val="1"/>
                <w:szCs w:val="1"/>
                <w:color w:val="auto"/>
              </w:rPr>
            </w:pPr>
          </w:p>
        </w:tc>
        <w:tc>
          <w:tcPr>
            <w:tcW w:w="1980" w:type="dxa"/>
            <w:vAlign w:val="bottom"/>
            <w:tcBorders>
              <w:top w:val="single" w:sz="8" w:color="DDDDDD"/>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paid in settlement of CSPUs vested in 2020, 2019 and 2018 totaled $3.8 million, $10.6 million and $15.1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4" w:name="page145"/>
    <w:bookmarkEnd w:id="1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Performance-vested Restricted Stock Units (PUs)</w:t>
      </w:r>
    </w:p>
    <w:p>
      <w:pPr>
        <w:spacing w:after="0" w:line="126"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PUs are granted to certain employees in the form of RSUs that may be settled in cash or shares of our common stock at the sole discretion of the Compensation and Management Development Committee of our Board of Directors. These awards are structured and accounted for the same way as the CSPUs, and vest in three equal annual increments beginning on the first anniversary of the grant date. The number of PUs granted represents the target number of units that are eligible to be earned based on the attainment of certain performance measures established at the beginning of the performance period, which ends on December 31 of each year. Participants may ultimately earn between zero and 200.0% of the target number of units granted based on the degree of actual performance metric achievement. Accordingly, additional PUs may be issued or currently outstanding PUs may be cancelled upon final determination of the number of units earned. PUs settling in cash are based on the 30 calendar day average closing stock price through each vesting date once the actual vested and earned number of units is known.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PU activity:</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200" w:type="dxa"/>
            <w:vAlign w:val="bottom"/>
          </w:tcPr>
          <w:p>
            <w:pPr>
              <w:spacing w:after="0"/>
              <w:rPr>
                <w:sz w:val="16"/>
                <w:szCs w:val="16"/>
                <w:color w:val="auto"/>
              </w:rPr>
            </w:pPr>
          </w:p>
        </w:tc>
        <w:tc>
          <w:tcPr>
            <w:tcW w:w="19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Shares</w:t>
            </w:r>
          </w:p>
        </w:tc>
      </w:tr>
      <w:tr>
        <w:trPr>
          <w:trHeight w:val="183"/>
        </w:trPr>
        <w:tc>
          <w:tcPr>
            <w:tcW w:w="9200" w:type="dxa"/>
            <w:vAlign w:val="bottom"/>
          </w:tcPr>
          <w:p>
            <w:pPr>
              <w:spacing w:after="0"/>
              <w:rPr>
                <w:sz w:val="20"/>
                <w:szCs w:val="20"/>
                <w:color w:val="auto"/>
              </w:rPr>
            </w:pPr>
            <w:r>
              <w:rPr>
                <w:rFonts w:ascii="Arial" w:cs="Arial" w:eastAsia="Arial" w:hAnsi="Arial"/>
                <w:sz w:val="14"/>
                <w:szCs w:val="14"/>
                <w:color w:val="auto"/>
              </w:rPr>
              <w:t>Unvested at December 31, 2019</w:t>
            </w:r>
          </w:p>
        </w:tc>
        <w:tc>
          <w:tcPr>
            <w:tcW w:w="1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11,000</w:t>
            </w:r>
          </w:p>
        </w:tc>
      </w:tr>
      <w:tr>
        <w:trPr>
          <w:trHeight w:val="190"/>
        </w:trPr>
        <w:tc>
          <w:tcPr>
            <w:tcW w:w="9200" w:type="dxa"/>
            <w:vAlign w:val="bottom"/>
          </w:tcPr>
          <w:p>
            <w:pPr>
              <w:ind w:left="120"/>
              <w:spacing w:after="0"/>
              <w:rPr>
                <w:sz w:val="20"/>
                <w:szCs w:val="20"/>
                <w:color w:val="auto"/>
              </w:rPr>
            </w:pPr>
            <w:r>
              <w:rPr>
                <w:rFonts w:ascii="Arial" w:cs="Arial" w:eastAsia="Arial" w:hAnsi="Arial"/>
                <w:sz w:val="14"/>
                <w:szCs w:val="14"/>
                <w:color w:val="auto"/>
              </w:rPr>
              <w:t>Granted</w:t>
            </w:r>
          </w:p>
        </w:tc>
        <w:tc>
          <w:tcPr>
            <w:tcW w:w="1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189"/>
        </w:trPr>
        <w:tc>
          <w:tcPr>
            <w:tcW w:w="9200" w:type="dxa"/>
            <w:vAlign w:val="bottom"/>
          </w:tcPr>
          <w:p>
            <w:pPr>
              <w:ind w:left="120"/>
              <w:spacing w:after="0"/>
              <w:rPr>
                <w:sz w:val="20"/>
                <w:szCs w:val="20"/>
                <w:color w:val="auto"/>
              </w:rPr>
            </w:pPr>
            <w:r>
              <w:rPr>
                <w:rFonts w:ascii="Arial" w:cs="Arial" w:eastAsia="Arial" w:hAnsi="Arial"/>
                <w:sz w:val="14"/>
                <w:szCs w:val="14"/>
                <w:color w:val="auto"/>
              </w:rPr>
              <w:t>Vested</w:t>
            </w:r>
          </w:p>
        </w:tc>
        <w:tc>
          <w:tcPr>
            <w:tcW w:w="19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(11,000)</w:t>
            </w:r>
          </w:p>
        </w:tc>
      </w:tr>
      <w:tr>
        <w:trPr>
          <w:trHeight w:val="188"/>
        </w:trPr>
        <w:tc>
          <w:tcPr>
            <w:tcW w:w="920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208"/>
        </w:trPr>
        <w:tc>
          <w:tcPr>
            <w:tcW w:w="9200" w:type="dxa"/>
            <w:vAlign w:val="bottom"/>
          </w:tcPr>
          <w:p>
            <w:pPr>
              <w:spacing w:after="0"/>
              <w:rPr>
                <w:sz w:val="20"/>
                <w:szCs w:val="20"/>
                <w:color w:val="auto"/>
              </w:rPr>
            </w:pPr>
            <w:r>
              <w:rPr>
                <w:rFonts w:ascii="Arial" w:cs="Arial" w:eastAsia="Arial" w:hAnsi="Arial"/>
                <w:sz w:val="14"/>
                <w:szCs w:val="14"/>
                <w:color w:val="auto"/>
              </w:rPr>
              <w:t>Unvested at December 31, 2020</w:t>
            </w:r>
          </w:p>
        </w:tc>
        <w:tc>
          <w:tcPr>
            <w:tcW w:w="1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r>
      <w:tr>
        <w:trPr>
          <w:trHeight w:val="20"/>
        </w:trPr>
        <w:tc>
          <w:tcPr>
            <w:tcW w:w="9200" w:type="dxa"/>
            <w:vAlign w:val="bottom"/>
          </w:tcPr>
          <w:p>
            <w:pPr>
              <w:spacing w:after="0" w:line="20" w:lineRule="exact"/>
              <w:rPr>
                <w:sz w:val="1"/>
                <w:szCs w:val="1"/>
                <w:color w:val="auto"/>
              </w:rPr>
            </w:pPr>
          </w:p>
        </w:tc>
        <w:tc>
          <w:tcPr>
            <w:tcW w:w="1980" w:type="dxa"/>
            <w:vAlign w:val="bottom"/>
            <w:tcBorders>
              <w:top w:val="single" w:sz="8" w:color="DDDDDD"/>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PUs that vested in 2020, 2019 and 2018 were settled in cash totaling $3.4 million, $10.4 million and $17.0 million, respectively.</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Performance Stock Units (PSUs)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823B"/>
        </w:rPr>
        <w:t>PSUs Settled in Stock</w:t>
      </w:r>
    </w:p>
    <w:p>
      <w:pPr>
        <w:spacing w:after="0" w:line="108"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During the first quarter of 2018 we began granting awards for performance-vested RSUs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spacing w:after="0" w:line="84"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PSUs that settle in stock activity: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5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2019</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111,000</w:t>
            </w:r>
          </w:p>
        </w:tc>
        <w:tc>
          <w:tcPr>
            <w:tcW w:w="3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316.39</w:t>
            </w:r>
          </w:p>
        </w:tc>
        <w:tc>
          <w:tcPr>
            <w:tcW w:w="0" w:type="dxa"/>
            <w:vAlign w:val="bottom"/>
          </w:tcPr>
          <w:p>
            <w:pPr>
              <w:spacing w:after="0"/>
              <w:rPr>
                <w:sz w:val="1"/>
                <w:szCs w:val="1"/>
                <w:color w:val="auto"/>
              </w:rPr>
            </w:pPr>
          </w:p>
        </w:tc>
      </w:tr>
      <w:tr>
        <w:trPr>
          <w:trHeight w:val="189"/>
        </w:trPr>
        <w:tc>
          <w:tcPr>
            <w:tcW w:w="81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73,000</w:t>
            </w: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293.35</w:t>
            </w:r>
          </w:p>
        </w:tc>
        <w:tc>
          <w:tcPr>
            <w:tcW w:w="0" w:type="dxa"/>
            <w:vAlign w:val="bottom"/>
          </w:tcPr>
          <w:p>
            <w:pPr>
              <w:spacing w:after="0"/>
              <w:rPr>
                <w:sz w:val="1"/>
                <w:szCs w:val="1"/>
                <w:color w:val="auto"/>
              </w:rPr>
            </w:pPr>
          </w:p>
        </w:tc>
      </w:tr>
      <w:tr>
        <w:trPr>
          <w:trHeight w:val="189"/>
        </w:trPr>
        <w:tc>
          <w:tcPr>
            <w:tcW w:w="814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814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(29,000)</w:t>
            </w:r>
          </w:p>
        </w:tc>
        <w:tc>
          <w:tcPr>
            <w:tcW w:w="100" w:type="dxa"/>
            <w:vAlign w:val="bottom"/>
            <w:tcBorders>
              <w:bottom w:val="single" w:sz="8" w:color="auto"/>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323.42</w:t>
            </w:r>
          </w:p>
        </w:tc>
        <w:tc>
          <w:tcPr>
            <w:tcW w:w="0" w:type="dxa"/>
            <w:vAlign w:val="bottom"/>
          </w:tcPr>
          <w:p>
            <w:pPr>
              <w:spacing w:after="0"/>
              <w:rPr>
                <w:sz w:val="1"/>
                <w:szCs w:val="1"/>
                <w:color w:val="auto"/>
              </w:rPr>
            </w:pPr>
          </w:p>
        </w:tc>
      </w:tr>
      <w:tr>
        <w:trPr>
          <w:trHeight w:val="208"/>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2020</w:t>
            </w:r>
          </w:p>
        </w:tc>
        <w:tc>
          <w:tcPr>
            <w:tcW w:w="15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155,000</w:t>
            </w:r>
          </w:p>
        </w:tc>
        <w:tc>
          <w:tcPr>
            <w:tcW w:w="100" w:type="dxa"/>
            <w:vAlign w:val="bottom"/>
            <w:tcBorders>
              <w:bottom w:val="single" w:sz="8" w:color="auto"/>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2573BA"/>
              </w:rPr>
              <w:t>$</w:t>
            </w:r>
          </w:p>
        </w:tc>
        <w:tc>
          <w:tcPr>
            <w:tcW w:w="12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304.19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2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3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120" w:firstLine="8"/>
        <w:spacing w:after="0" w:line="232" w:lineRule="auto"/>
        <w:tabs>
          <w:tab w:leader="none" w:pos="154" w:val="left"/>
        </w:tabs>
        <w:numPr>
          <w:ilvl w:val="0"/>
          <w:numId w:val="118"/>
        </w:numPr>
        <w:rPr>
          <w:rFonts w:ascii="Arial" w:cs="Arial" w:eastAsia="Arial" w:hAnsi="Arial"/>
          <w:sz w:val="17"/>
          <w:szCs w:val="17"/>
          <w:color w:val="auto"/>
          <w:vertAlign w:val="superscript"/>
        </w:rPr>
      </w:pPr>
      <w:r>
        <w:rPr>
          <w:rFonts w:ascii="Arial" w:cs="Arial" w:eastAsia="Arial" w:hAnsi="Arial"/>
          <w:sz w:val="13"/>
          <w:szCs w:val="13"/>
          <w:color w:val="auto"/>
        </w:rPr>
        <w:t>PSUs settled in stock granted in 2020 include awards granted in conjunction with our annual awards made in February 2020 and PSUs granted in conjunction with the hiring of employees. These grants reflect the target number of shares eligible to be earned at the time of grant.</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823B"/>
        </w:rPr>
        <w:t>PSUs Settled in Cash</w:t>
      </w:r>
    </w:p>
    <w:p>
      <w:pPr>
        <w:spacing w:after="0" w:line="108"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During the first quarter of 2018 we began granting awards for performance-vested restricted stock units that will settle in cash. PSUs awarded to employees have three performance periods and vest on the third anniversary of the grant date. The vesting of these awards is subject to the respective employee’s continued employment. The number of PSUs granted represents the target number of units that are eligible to be earned based on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achievement of three annual performance measures established when the performance objectives are defined, which will be at the beginning of each year and will end on December 31 of such year.</w:t>
      </w:r>
    </w:p>
    <w:p>
      <w:pPr>
        <w:spacing w:after="0" w:line="14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 PSUs are classified as liability awards and will be settled in cash based on the 30 calendar day average closing stock price through the vesting date, once the actual vested and earned number of PSUs is determined. Since no shares are issued, these awards do not dilute equity.</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PSUs that settle in cash activity: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9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Shares</w:t>
            </w: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2019</w:t>
            </w: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82,000</w:t>
            </w:r>
          </w:p>
        </w:tc>
      </w:tr>
      <w:tr>
        <w:trPr>
          <w:trHeight w:val="207"/>
        </w:trPr>
        <w:tc>
          <w:tcPr>
            <w:tcW w:w="9340" w:type="dxa"/>
            <w:vAlign w:val="bottom"/>
            <w:gridSpan w:val="2"/>
          </w:tcPr>
          <w:p>
            <w:pPr>
              <w:ind w:left="1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63,000</w:t>
            </w:r>
          </w:p>
        </w:tc>
      </w:tr>
      <w:tr>
        <w:trPr>
          <w:trHeight w:val="172"/>
        </w:trPr>
        <w:tc>
          <w:tcPr>
            <w:tcW w:w="934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(2,000)</w:t>
            </w:r>
          </w:p>
        </w:tc>
      </w:tr>
      <w:tr>
        <w:trPr>
          <w:trHeight w:val="188"/>
        </w:trPr>
        <w:tc>
          <w:tcPr>
            <w:tcW w:w="934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(23,000)</w:t>
            </w:r>
          </w:p>
        </w:tc>
      </w:tr>
      <w:tr>
        <w:trPr>
          <w:trHeight w:val="208"/>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2020</w:t>
            </w:r>
          </w:p>
        </w:tc>
        <w:tc>
          <w:tcPr>
            <w:tcW w:w="1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120,000</w:t>
            </w:r>
          </w:p>
        </w:tc>
      </w:tr>
      <w:tr>
        <w:trPr>
          <w:trHeight w:val="20"/>
        </w:trPr>
        <w:tc>
          <w:tcPr>
            <w:tcW w:w="4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00" w:type="dxa"/>
            <w:vAlign w:val="bottom"/>
            <w:tcBorders>
              <w:top w:val="single" w:sz="8" w:color="DDDDDD"/>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4960" w:type="dxa"/>
            <w:vAlign w:val="bottom"/>
          </w:tcPr>
          <w:p>
            <w:pPr>
              <w:spacing w:after="0"/>
              <w:rPr>
                <w:sz w:val="11"/>
                <w:szCs w:val="11"/>
                <w:color w:val="auto"/>
              </w:rPr>
            </w:pPr>
          </w:p>
        </w:tc>
        <w:tc>
          <w:tcPr>
            <w:tcW w:w="1900" w:type="dxa"/>
            <w:vAlign w:val="bottom"/>
          </w:tcPr>
          <w:p>
            <w:pPr>
              <w:spacing w:after="0"/>
              <w:rPr>
                <w:sz w:val="11"/>
                <w:szCs w:val="11"/>
                <w:color w:val="auto"/>
              </w:rPr>
            </w:pPr>
          </w:p>
        </w:tc>
      </w:tr>
    </w:tbl>
    <w:p>
      <w:pPr>
        <w:spacing w:after="0" w:line="113" w:lineRule="exact"/>
        <w:rPr>
          <w:sz w:val="20"/>
          <w:szCs w:val="20"/>
          <w:color w:val="auto"/>
        </w:rPr>
      </w:pPr>
    </w:p>
    <w:p>
      <w:pPr>
        <w:ind w:right="160" w:firstLine="8"/>
        <w:spacing w:after="0" w:line="258" w:lineRule="auto"/>
        <w:tabs>
          <w:tab w:leader="none" w:pos="154" w:val="left"/>
        </w:tabs>
        <w:numPr>
          <w:ilvl w:val="0"/>
          <w:numId w:val="119"/>
        </w:numPr>
        <w:rPr>
          <w:rFonts w:ascii="Arial" w:cs="Arial" w:eastAsia="Arial" w:hAnsi="Arial"/>
          <w:sz w:val="9"/>
          <w:szCs w:val="9"/>
          <w:color w:val="auto"/>
        </w:rPr>
      </w:pPr>
      <w:r>
        <w:rPr>
          <w:rFonts w:ascii="Arial" w:cs="Arial" w:eastAsia="Arial" w:hAnsi="Arial"/>
          <w:sz w:val="14"/>
          <w:szCs w:val="14"/>
          <w:color w:val="auto"/>
        </w:rPr>
        <w:t>PSUs settled in cash granted in 2020 include awards granted in conjunction with our annual awards made in February 2020 and PSUs granted in conjunction with the hiring of employees. These grants reflect the target number of shares eligible to be earned at the time of grant.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Time-Vested Restricted Stock Units (RSUs)</w:t>
      </w:r>
    </w:p>
    <w:p>
      <w:pPr>
        <w:spacing w:after="0" w:line="12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RSU activity: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78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2019</w:t>
            </w:r>
          </w:p>
        </w:tc>
        <w:tc>
          <w:tcPr>
            <w:tcW w:w="1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938,000</w:t>
            </w:r>
          </w:p>
        </w:tc>
        <w:tc>
          <w:tcPr>
            <w:tcW w:w="30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6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306.55</w:t>
            </w:r>
          </w:p>
        </w:tc>
        <w:tc>
          <w:tcPr>
            <w:tcW w:w="0" w:type="dxa"/>
            <w:vAlign w:val="bottom"/>
          </w:tcPr>
          <w:p>
            <w:pPr>
              <w:spacing w:after="0"/>
              <w:rPr>
                <w:sz w:val="1"/>
                <w:szCs w:val="1"/>
                <w:color w:val="auto"/>
              </w:rPr>
            </w:pPr>
          </w:p>
        </w:tc>
      </w:tr>
      <w:tr>
        <w:trPr>
          <w:trHeight w:val="189"/>
        </w:trPr>
        <w:tc>
          <w:tcPr>
            <w:tcW w:w="748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620,000</w:t>
            </w: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318.87</w:t>
            </w:r>
          </w:p>
        </w:tc>
        <w:tc>
          <w:tcPr>
            <w:tcW w:w="0" w:type="dxa"/>
            <w:vAlign w:val="bottom"/>
          </w:tcPr>
          <w:p>
            <w:pPr>
              <w:spacing w:after="0"/>
              <w:rPr>
                <w:sz w:val="1"/>
                <w:szCs w:val="1"/>
                <w:color w:val="auto"/>
              </w:rPr>
            </w:pPr>
          </w:p>
        </w:tc>
      </w:tr>
      <w:tr>
        <w:trPr>
          <w:trHeight w:val="189"/>
        </w:trPr>
        <w:tc>
          <w:tcPr>
            <w:tcW w:w="748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(440,000)</w:t>
            </w: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6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304.45</w:t>
            </w:r>
          </w:p>
        </w:tc>
        <w:tc>
          <w:tcPr>
            <w:tcW w:w="0" w:type="dxa"/>
            <w:vAlign w:val="bottom"/>
          </w:tcPr>
          <w:p>
            <w:pPr>
              <w:spacing w:after="0"/>
              <w:rPr>
                <w:sz w:val="1"/>
                <w:szCs w:val="1"/>
                <w:color w:val="auto"/>
              </w:rPr>
            </w:pPr>
          </w:p>
        </w:tc>
      </w:tr>
      <w:tr>
        <w:trPr>
          <w:trHeight w:val="189"/>
        </w:trPr>
        <w:tc>
          <w:tcPr>
            <w:tcW w:w="748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(100,000)</w:t>
            </w:r>
          </w:p>
        </w:tc>
        <w:tc>
          <w:tcPr>
            <w:tcW w:w="12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DDDDDD"/>
            </w:tcBorders>
            <w:shd w:val="clear" w:color="auto" w:fill="DDDDDD"/>
          </w:tcPr>
          <w:p>
            <w:pPr>
              <w:spacing w:after="0"/>
              <w:rPr>
                <w:sz w:val="16"/>
                <w:szCs w:val="16"/>
                <w:color w:val="auto"/>
              </w:rPr>
            </w:pPr>
          </w:p>
        </w:tc>
        <w:tc>
          <w:tcPr>
            <w:tcW w:w="1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314.46</w:t>
            </w:r>
          </w:p>
        </w:tc>
        <w:tc>
          <w:tcPr>
            <w:tcW w:w="0" w:type="dxa"/>
            <w:vAlign w:val="bottom"/>
          </w:tcPr>
          <w:p>
            <w:pPr>
              <w:spacing w:after="0"/>
              <w:rPr>
                <w:sz w:val="1"/>
                <w:szCs w:val="1"/>
                <w:color w:val="auto"/>
              </w:rPr>
            </w:pPr>
          </w:p>
        </w:tc>
      </w:tr>
      <w:tr>
        <w:trPr>
          <w:trHeight w:val="208"/>
        </w:trPr>
        <w:tc>
          <w:tcPr>
            <w:tcW w:w="748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2020</w:t>
            </w:r>
          </w:p>
        </w:tc>
        <w:tc>
          <w:tcPr>
            <w:tcW w:w="1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1,018,000</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6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3BA"/>
              </w:rPr>
              <w:t>314.46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7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tcBorders>
          </w:tcPr>
          <w:p>
            <w:pPr>
              <w:spacing w:after="0" w:line="20" w:lineRule="exact"/>
              <w:rPr>
                <w:sz w:val="1"/>
                <w:szCs w:val="1"/>
                <w:color w:val="auto"/>
              </w:rPr>
            </w:pPr>
          </w:p>
        </w:tc>
        <w:tc>
          <w:tcPr>
            <w:tcW w:w="16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right="20" w:firstLine="8"/>
        <w:spacing w:after="0" w:line="232" w:lineRule="auto"/>
        <w:tabs>
          <w:tab w:leader="none" w:pos="154" w:val="left"/>
        </w:tabs>
        <w:numPr>
          <w:ilvl w:val="0"/>
          <w:numId w:val="120"/>
        </w:numPr>
        <w:rPr>
          <w:rFonts w:ascii="Arial" w:cs="Arial" w:eastAsia="Arial" w:hAnsi="Arial"/>
          <w:sz w:val="17"/>
          <w:szCs w:val="17"/>
          <w:color w:val="auto"/>
          <w:vertAlign w:val="superscript"/>
        </w:rPr>
      </w:pPr>
      <w:r>
        <w:rPr>
          <w:rFonts w:ascii="Arial" w:cs="Arial" w:eastAsia="Arial" w:hAnsi="Arial"/>
          <w:sz w:val="13"/>
          <w:szCs w:val="13"/>
          <w:color w:val="auto"/>
        </w:rPr>
        <w:t>RSUs granted in 2020 primarily represent RSUs granted in conjunction with our annual awards made in February 2020 and awards made in conjunction with the hiring of new employees. RSUs granted in 2020 also include approximately 10,000 RSUs granted to our Board of Directors.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RSUs granted in 2019 and 2018 had weighted average grant date fair values of $304.44 and $316.32, respectively.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RSUs vested in 2020, 2019 and 2018 totaled $140.5 million, $131.5 million and $111.7 million, respectively.</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Employee Stock Purchase Plan (ESPP)</w:t>
      </w:r>
    </w:p>
    <w:p>
      <w:pPr>
        <w:spacing w:after="0" w:line="126"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In June 2015 our shareholders approved the 2015 ESPP. The maximum aggregate number of shares of our common stock that may be purchased under the 2015 ESPP is 6.2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ESPP activity: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r>
      <w:tr>
        <w:trPr>
          <w:trHeight w:val="184"/>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2015 ESPP</w:t>
            </w:r>
          </w:p>
        </w:tc>
        <w:tc>
          <w:tcPr>
            <w:tcW w:w="380" w:type="dxa"/>
            <w:vAlign w:val="bottom"/>
            <w:shd w:val="clear" w:color="auto" w:fill="DDDDDD"/>
          </w:tcPr>
          <w:p>
            <w:pPr>
              <w:spacing w:after="0"/>
              <w:rPr>
                <w:sz w:val="16"/>
                <w:szCs w:val="16"/>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212,000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204,000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170,000</w:t>
            </w:r>
          </w:p>
        </w:tc>
      </w:tr>
      <w:tr>
        <w:trPr>
          <w:trHeight w:val="188"/>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2015 ESPP</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48.6</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40.5</w:t>
            </w:r>
          </w:p>
        </w:tc>
      </w:tr>
    </w:tbl>
    <w:p>
      <w:pPr>
        <w:spacing w:after="0" w:line="143"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2"/>
          <w:szCs w:val="22"/>
          <w:b w:val="1"/>
          <w:bCs w:val="1"/>
          <w:color w:val="578196"/>
        </w:rPr>
      </w:pPr>
      <w:r>
        <w:rPr>
          <w:rFonts w:ascii="Arial" w:cs="Arial" w:eastAsia="Arial" w:hAnsi="Arial"/>
          <w:sz w:val="22"/>
          <w:szCs w:val="22"/>
          <w:b w:val="1"/>
          <w:bCs w:val="1"/>
          <w:color w:val="578196"/>
        </w:rPr>
        <w:t>Income Taxes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Income Tax Expense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 expense and the income tax expense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6"/>
                <w:szCs w:val="16"/>
                <w:color w:val="auto"/>
              </w:rPr>
            </w:pPr>
          </w:p>
        </w:tc>
      </w:tr>
      <w:tr>
        <w:trPr>
          <w:trHeight w:val="18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3"/>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before income taxes (benefit):</w:t>
            </w:r>
          </w:p>
        </w:tc>
        <w:tc>
          <w:tcPr>
            <w:tcW w:w="38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3,290.0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4,725.3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3,877.0</w:t>
            </w: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1,757.5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2,400.6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2,022.6</w:t>
            </w:r>
          </w:p>
        </w:tc>
      </w:tr>
      <w:tr>
        <w:trPr>
          <w:trHeight w:val="223"/>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5,047.5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7,125.9</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5,899.6</w:t>
            </w:r>
          </w:p>
        </w:tc>
      </w:tr>
      <w:tr>
        <w:trPr>
          <w:trHeight w:val="157"/>
        </w:trPr>
        <w:tc>
          <w:tcPr>
            <w:tcW w:w="606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Income tax expense (benefit):</w:t>
            </w:r>
          </w:p>
        </w:tc>
        <w:tc>
          <w:tcPr>
            <w:tcW w:w="380" w:type="dxa"/>
            <w:vAlign w:val="bottom"/>
            <w:tcBorders>
              <w:top w:val="single" w:sz="8" w:color="auto"/>
            </w:tcBorders>
            <w:shd w:val="clear" w:color="auto" w:fill="DDDDDD"/>
          </w:tcPr>
          <w:p>
            <w:pPr>
              <w:spacing w:after="0"/>
              <w:rPr>
                <w:sz w:val="13"/>
                <w:szCs w:val="13"/>
                <w:color w:val="auto"/>
              </w:rPr>
            </w:pPr>
          </w:p>
        </w:tc>
        <w:tc>
          <w:tcPr>
            <w:tcW w:w="1260" w:type="dxa"/>
            <w:vAlign w:val="bottom"/>
            <w:tcBorders>
              <w:top w:val="single" w:sz="8" w:color="auto"/>
            </w:tcBorders>
            <w:shd w:val="clear" w:color="auto" w:fill="DDDDDD"/>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8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647.0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947.4</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1,131.8</w:t>
            </w:r>
          </w:p>
        </w:tc>
      </w:tr>
      <w:tr>
        <w:trPr>
          <w:trHeight w:val="19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18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155.1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r>
      <w:tr>
        <w:trPr>
          <w:trHeight w:val="183"/>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843.3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1,090.9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1,317.3</w:t>
            </w:r>
          </w:p>
        </w:tc>
      </w:tr>
      <w:tr>
        <w:trPr>
          <w:trHeight w:val="16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shd w:val="clear" w:color="auto" w:fill="DDDDDD"/>
          </w:tcPr>
          <w:p>
            <w:pPr>
              <w:spacing w:after="0"/>
              <w:rPr>
                <w:sz w:val="14"/>
                <w:szCs w:val="14"/>
                <w:color w:val="auto"/>
              </w:rPr>
            </w:pPr>
          </w:p>
        </w:tc>
        <w:tc>
          <w:tcPr>
            <w:tcW w:w="1260" w:type="dxa"/>
            <w:vAlign w:val="bottom"/>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(1,749.9)</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1,143.9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19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8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DDDDD"/>
          </w:tcPr>
          <w:p>
            <w:pPr>
              <w:spacing w:after="0"/>
              <w:rPr>
                <w:sz w:val="16"/>
                <w:szCs w:val="16"/>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1,905.7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w:t>
            </w:r>
          </w:p>
        </w:tc>
      </w:tr>
      <w:tr>
        <w:trPr>
          <w:trHeight w:val="183"/>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149.0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Total income tax expense</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992.3</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1,158.0</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1,425.6</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2017 Tax Act</w:t>
      </w:r>
    </w:p>
    <w:p>
      <w:pPr>
        <w:spacing w:after="0" w:line="122" w:lineRule="exact"/>
        <w:rPr>
          <w:sz w:val="20"/>
          <w:szCs w:val="20"/>
          <w:color w:val="auto"/>
        </w:rPr>
      </w:pPr>
    </w:p>
    <w:p>
      <w:pPr>
        <w:ind w:right="280" w:firstLine="405"/>
        <w:spacing w:after="0" w:line="252" w:lineRule="auto"/>
        <w:rPr>
          <w:sz w:val="20"/>
          <w:szCs w:val="20"/>
          <w:color w:val="auto"/>
        </w:rPr>
      </w:pPr>
      <w:r>
        <w:rPr>
          <w:rFonts w:ascii="Arial" w:cs="Arial" w:eastAsia="Arial" w:hAnsi="Arial"/>
          <w:sz w:val="18"/>
          <w:szCs w:val="18"/>
          <w:color w:val="auto"/>
        </w:rPr>
        <w:t>The Tax Cuts and Jobs Act of 2017 (2017 Tax Act) resulted in significant changes to the U.S. corporate income tax system. These changes include a federal statutory rate reduction from 35.0% to 21.0%, the elimination or reduction of certain domestic deductions and credits and limitations on the deductibility of interest expense and executive compensation. The 2017 Tax Act also transitions international taxation from a worldwide system to a modified territorial system, which has the effect of subjecting certain earnings of our foreign subsidiaries and collaborations to immediate U.S. taxation as GILTI or Subpart F income, includes a one-time mandatory deemed repatriation tax on accumulated foreign subsidiaries' previously untaxed foreign earnings (the Transition Toll Tax) and base erosion prevention measures on U.S. earnings and reduces the effective tax rate on income that comes from U.S. exports, called Foreign Derived Intangible Income. These changes became effective in 2018.</w:t>
      </w:r>
    </w:p>
    <w:p>
      <w:pPr>
        <w:spacing w:after="0" w:line="151" w:lineRule="exact"/>
        <w:rPr>
          <w:sz w:val="20"/>
          <w:szCs w:val="20"/>
          <w:color w:val="auto"/>
        </w:rPr>
      </w:pPr>
    </w:p>
    <w:p>
      <w:pPr>
        <w:ind w:right="440" w:firstLine="405"/>
        <w:spacing w:after="0" w:line="256" w:lineRule="auto"/>
        <w:rPr>
          <w:sz w:val="20"/>
          <w:szCs w:val="20"/>
          <w:color w:val="auto"/>
        </w:rPr>
      </w:pPr>
      <w:r>
        <w:rPr>
          <w:rFonts w:ascii="Arial" w:cs="Arial" w:eastAsia="Arial" w:hAnsi="Arial"/>
          <w:sz w:val="18"/>
          <w:szCs w:val="18"/>
          <w:color w:val="auto"/>
        </w:rPr>
        <w:t>During the year ended December 31, 2018, we recognized a net reduction of $34.6 million in our estimated Transition Toll Tax, an expense of $12.7 million to remeasure our deferred tax balances, an expense of $135.8 million related to establishing deferred taxes for GILTI and an expense of $11.0 million to reflect other aspects of the 2017 Tax Act.</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Transition Toll Tax</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2017 Tax Act eliminated the deferral of U.S. income tax on the historical unrepatriated earnings by imposing the Transition Toll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Transition Toll Tax was assessed on our share of our foreign corporations' accumulated foreign earnings that were not previously taxed.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in the form of cash and cash equivalents were taxed at a rate of 15.5% and all other earnings were taxed at a rate of 8.0%.</w:t>
      </w:r>
    </w:p>
    <w:p>
      <w:pPr>
        <w:spacing w:after="0" w:line="171"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As of December 31, 2020 and 2019, we have accrued income tax liabilities of $697.0 million under the Transition Toll Tax. Of the amounts accrued as of December 31, 2020, $ 62.0 million is expected to be paid within one year. The Transition Toll Tax will be paid over an eight--year period, which started in 2018, and does not accrue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Unremitted Earnings</w:t>
      </w:r>
    </w:p>
    <w:p>
      <w:pPr>
        <w:spacing w:after="0" w:line="126"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At December 31, 2020, we considered our earnings not to be permanently reinvested outside the U.S. and therefore recorded deferred tax liabilities associated with an estimate of the total withholding taxes expected as a result of our repatriation of earnings. Other than for earnings, we are permanently reinvested for book/tax basis differences of approximately $1.5 billion as of December 31, 2020, primarily arising through the impacts of purchase accounting. These permanently reinvested basis differences could reverse through sales of the foreign subsidiaries, as well as various other events, none of which were considered probable as of December 31, 2020. The residual U.S. tax liability, if these differences reverse, would be between $300.0 million and $400.0 million as of December 31, 2020.</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Coronavirus Aid, Relief and Economic Security Act</w:t>
      </w:r>
    </w:p>
    <w:p>
      <w:pPr>
        <w:spacing w:after="0" w:line="12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in the U.S. in March 2020. The CARES Act adjusted a number of provisions of the tax code, including the calculation and eligibility of certain deductions and the treatment of net operating losses and tax credits. The enactment of the CARES Act did not result in any material adjustments to our income tax provision for the year ended December 31, 2020, or to our net deferred tax assets as of December 31, 2020.</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TECFIDERA</w:t>
      </w:r>
    </w:p>
    <w:p>
      <w:pPr>
        <w:spacing w:after="0" w:line="11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Drug Price Competition and Patent Term Restoration Act of 1984, commonly known as the Hatch-Waxman Act, in West Virginia and Delaware. We have appealed the judgments in both actions. For additional information,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to these consolidated financial statements.</w:t>
      </w:r>
    </w:p>
    <w:p>
      <w:pPr>
        <w:spacing w:after="0" w:line="82"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significantly reduced our TECFIDERA revenues during the year ended December 31, 2020, and is expected to have a substantial negative impact on our TECFIDERA revenues for as long as there is generic competition.</w:t>
      </w:r>
    </w:p>
    <w:p>
      <w:pPr>
        <w:spacing w:after="0" w:line="8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of December 31, 2020, we have assessed the realizability of our deferred tax assets that are dependent on future expected sales of TECFIDERA in the U.S. and reduced the net value of certain deferred tax assets by approximately $1.7 billion and reduced the net value of deferred tax liabilities associated with GILTI and tax credits by approximately $1.6 billion. For the year ended December 31, 2020, the income tax expense associated with these reductions was approximately $90.3 million.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Deferred Tax Assets and Liabilities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r>
      <w:tr>
        <w:trPr>
          <w:trHeight w:val="183"/>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42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113.4</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106.6</w:t>
            </w:r>
          </w:p>
        </w:tc>
      </w:tr>
      <w:tr>
        <w:trPr>
          <w:trHeight w:val="190"/>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Inventory, other reserves and accruals</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165.9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162.0</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Intangibles, net</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1,546.0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3,380.0</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Net operating loss</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2,080.3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130.4</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23.3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103.1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103.7</w:t>
            </w:r>
          </w:p>
        </w:tc>
      </w:tr>
      <w:tr>
        <w:trPr>
          <w:trHeight w:val="188"/>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42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(1,753.9)</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assets</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2,278.1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3,905.4</w:t>
            </w:r>
          </w:p>
        </w:tc>
      </w:tr>
      <w:tr>
        <w:trPr>
          <w:trHeight w:val="155"/>
        </w:trPr>
        <w:tc>
          <w:tcPr>
            <w:tcW w:w="756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Deferred tax liabilities:</w:t>
            </w:r>
          </w:p>
        </w:tc>
        <w:tc>
          <w:tcPr>
            <w:tcW w:w="420" w:type="dxa"/>
            <w:vAlign w:val="bottom"/>
            <w:tcBorders>
              <w:top w:val="single" w:sz="8" w:color="auto"/>
            </w:tcBorders>
            <w:shd w:val="clear" w:color="auto" w:fill="DDDDDD"/>
          </w:tcPr>
          <w:p>
            <w:pPr>
              <w:spacing w:after="0"/>
              <w:rPr>
                <w:sz w:val="13"/>
                <w:szCs w:val="13"/>
                <w:color w:val="auto"/>
              </w:rPr>
            </w:pPr>
          </w:p>
        </w:tc>
        <w:tc>
          <w:tcPr>
            <w:tcW w:w="1360" w:type="dxa"/>
            <w:vAlign w:val="bottom"/>
            <w:tcBorders>
              <w:top w:val="single" w:sz="8" w:color="auto"/>
            </w:tcBorders>
            <w:shd w:val="clear" w:color="auto" w:fill="DDDDDD"/>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Purchased intangible assets</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(396.2)</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(350.3)</w:t>
            </w:r>
          </w:p>
        </w:tc>
      </w:tr>
      <w:tr>
        <w:trPr>
          <w:trHeight w:val="190"/>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GILTI</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(1,143.7)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(1,381.6)</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(174.6)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(1,617.2)</w:t>
            </w:r>
          </w:p>
        </w:tc>
      </w:tr>
      <w:tr>
        <w:trPr>
          <w:trHeight w:val="188"/>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other</w:t>
            </w:r>
          </w:p>
        </w:tc>
        <w:tc>
          <w:tcPr>
            <w:tcW w:w="42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(227.0)</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w:t>
            </w:r>
          </w:p>
        </w:tc>
      </w:tr>
      <w:tr>
        <w:trPr>
          <w:trHeight w:val="203"/>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liabilities</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(1,941.5)</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(3,484.1)</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The change in the valuation allowance between December 31, 2020 and 2019, was primarily related to the establishment of a valuation allowance against certain deferred tax assets, the realization of which is dependent on future sales of TECFIDERA in the U.S., as discussed above.</w:t>
      </w:r>
    </w:p>
    <w:p>
      <w:pPr>
        <w:spacing w:after="0" w:line="148"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In addition to deferred tax assets and liabilities, we have recorded deferred charges related to intra-entity sales of inventory. As of December 31, 2020 and 2019, the total deferred charges were $142.2 million and $243.8 million, respectively.</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Tax Rate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132"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1120" w:type="dxa"/>
            <w:vAlign w:val="bottom"/>
            <w:tcBorders>
              <w:top w:val="single" w:sz="8" w:color="auto"/>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3BA"/>
              </w:rPr>
              <w:t>2020</w:t>
            </w:r>
          </w:p>
        </w:tc>
        <w:tc>
          <w:tcPr>
            <w:tcW w:w="420" w:type="dxa"/>
            <w:vAlign w:val="bottom"/>
            <w:tcBorders>
              <w:top w:val="single" w:sz="8" w:color="auto"/>
              <w:bottom w:val="single" w:sz="8" w:color="auto"/>
            </w:tcBorders>
            <w:shd w:val="clear" w:color="auto" w:fill="DDDDDD"/>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r>
      <w:tr>
        <w:trPr>
          <w:trHeight w:val="183"/>
        </w:trPr>
        <w:tc>
          <w:tcPr>
            <w:tcW w:w="5920" w:type="dxa"/>
            <w:vAlign w:val="bottom"/>
          </w:tcPr>
          <w:p>
            <w:pPr>
              <w:spacing w:after="0"/>
              <w:rPr>
                <w:sz w:val="20"/>
                <w:szCs w:val="20"/>
                <w:color w:val="auto"/>
              </w:rPr>
            </w:pPr>
            <w:r>
              <w:rPr>
                <w:rFonts w:ascii="Arial" w:cs="Arial" w:eastAsia="Arial" w:hAnsi="Arial"/>
                <w:sz w:val="14"/>
                <w:szCs w:val="14"/>
                <w:color w:val="auto"/>
              </w:rPr>
              <w:t>Statutory rate</w:t>
            </w:r>
          </w:p>
        </w:tc>
        <w:tc>
          <w:tcPr>
            <w:tcW w:w="1120" w:type="dxa"/>
            <w:vAlign w:val="bottom"/>
            <w:shd w:val="clear" w:color="auto" w:fill="DDDDDD"/>
          </w:tcPr>
          <w:p>
            <w:pPr>
              <w:spacing w:after="0"/>
              <w:rPr>
                <w:sz w:val="15"/>
                <w:szCs w:val="15"/>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21.0</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w w:val="96"/>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191"/>
        </w:trPr>
        <w:tc>
          <w:tcPr>
            <w:tcW w:w="5920" w:type="dxa"/>
            <w:vAlign w:val="bottom"/>
          </w:tcPr>
          <w:p>
            <w:pPr>
              <w:spacing w:after="0"/>
              <w:rPr>
                <w:sz w:val="20"/>
                <w:szCs w:val="20"/>
                <w:color w:val="auto"/>
              </w:rPr>
            </w:pPr>
            <w:r>
              <w:rPr>
                <w:rFonts w:ascii="Arial" w:cs="Arial" w:eastAsia="Arial" w:hAnsi="Arial"/>
                <w:sz w:val="14"/>
                <w:szCs w:val="14"/>
                <w:color w:val="auto"/>
              </w:rPr>
              <w:t>State taxes</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0.7</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0.6</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(1.9)</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Credits and net operating loss utilization</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(0.9)</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Purchased intangible assets</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0.7</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1.2</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Divestiture of Denmark manufacturing operations</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(0.4)</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Internal reorganization of certain intellectual property rights</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TECFIDERA impairment</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GILTI</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1.6</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U.S. tax reform</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2.1</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Swiss tax reform</w:t>
            </w:r>
          </w:p>
        </w:tc>
        <w:tc>
          <w:tcPr>
            <w:tcW w:w="1120" w:type="dxa"/>
            <w:vAlign w:val="bottom"/>
            <w:shd w:val="clear" w:color="auto" w:fill="DDDDDD"/>
          </w:tcPr>
          <w:p>
            <w:pPr>
              <w:spacing w:after="0"/>
              <w:rPr>
                <w:sz w:val="16"/>
                <w:szCs w:val="16"/>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DDDDD"/>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8"/>
        </w:trPr>
        <w:tc>
          <w:tcPr>
            <w:tcW w:w="5920" w:type="dxa"/>
            <w:vAlign w:val="bottom"/>
          </w:tcPr>
          <w:p>
            <w:pPr>
              <w:spacing w:after="0"/>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shd w:val="clear" w:color="auto" w:fill="DDDDDD"/>
          </w:tcPr>
          <w:p>
            <w:pPr>
              <w:spacing w:after="0"/>
              <w:rPr>
                <w:sz w:val="16"/>
                <w:szCs w:val="16"/>
                <w:color w:val="auto"/>
              </w:rPr>
            </w:pPr>
          </w:p>
        </w:tc>
        <w:tc>
          <w:tcPr>
            <w:tcW w:w="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(0.9)</w:t>
            </w:r>
          </w:p>
        </w:tc>
        <w:tc>
          <w:tcPr>
            <w:tcW w:w="1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0.5</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Effective tax rate</w:t>
            </w:r>
          </w:p>
        </w:tc>
        <w:tc>
          <w:tcPr>
            <w:tcW w:w="1120" w:type="dxa"/>
            <w:vAlign w:val="bottom"/>
            <w:shd w:val="clear" w:color="auto" w:fill="DDDDDD"/>
          </w:tcPr>
          <w:p>
            <w:pPr>
              <w:spacing w:after="0"/>
              <w:rPr>
                <w:sz w:val="17"/>
                <w:szCs w:val="17"/>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w w:val="96"/>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24.2 %</w:t>
            </w: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Changes in Tax Rate</w:t>
      </w:r>
    </w:p>
    <w:p>
      <w:pPr>
        <w:spacing w:after="0" w:line="10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For the year ended December 31, 2020, our effective tax rate was primarily increased by the income tax expense related to the establishment of a valuation allowance against certain deferred tax assets, the realization of which is dependent on future sales of TECFIDERA in the U.S., as discussed above, and partially offset by the benefit recognized on the effective settlement of certain tax matters. Additionally, our 2019 effective tax rate benefited from</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an internal reorganization of certain intellectual property rights and the enactment of a new taxing regime in the country and certain cantons of Switzerland, which we refer to as Swiss Tax Reform, partially offset by tax expense related to the divestiture of our Hillerød, Denmark manufacturing operations. Although we recognized a loss on the divestiture of our Hillerød, Denmark manufacturing operations, the divestiture required us to write-off certain deferred tax assets and resulted in a taxable gain in certain jurisdictions. 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73"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As a result of the 2019 internal reorganization of certain intellectual property rights, we recorded a deferred tax asset of $754.1 million and a deferred tax liability of $603.3 million as of December 31, 2019.</w:t>
      </w:r>
    </w:p>
    <w:p>
      <w:pPr>
        <w:spacing w:after="0" w:line="144"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For the year ended December 31, 2019, as compared to 2018, the decrease in our effective tax rate was primarily due to the combination of the internal reorganization of certain intellectual property rights and the impact of the Swiss Tax Reform. This decrease was partially offset by a $68.9 million tax expense related to the divestiture of our subsidiary that owned our Hillerød, Denmark manufacturing operations. We also had a higher effective tax rate in 2018 resulting from the unfavorable effects of the 2017 Tax Act and our sale of inventory, the tax effect of which had been included within prepaid taxes at January 1, 2018, at a higher effective tax rate than the 2018 statutory tax rate.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Tax Attributes</w:t>
      </w:r>
    </w:p>
    <w:p>
      <w:pPr>
        <w:spacing w:after="0" w:line="122"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As of December 31, 2020, we had net operating losses and general business credit carry forwards for U.S. federal income tax purposes of approximately $0.6 million and $1.3 million, respectively, which begin to expire in 2026. For U.S. state income tax purposes, we had research and investment credit carry forwards of approximately $142.4 million that begin to expire in 2022. For foreign income tax purposes, we had $18.0 billion of Swiss federal net operating loss carryforwards that begin to expire in 2025 and $16.8 billion of Swiss cantonal net operating loss carryforwards that begin to expire in 2025.</w:t>
      </w:r>
    </w:p>
    <w:p>
      <w:pPr>
        <w:spacing w:after="0" w:line="15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net of the recorded valuation allowance. In the event that actual results differ from our estimates or we adjust our estimates in future periods, we may need to adjust or establish a valuation allowance, which could materially impact our consolidated financial position and results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Accounting for Uncertainty in Income Taxes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our unrecognized tax benefits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r>
      <w:tr>
        <w:trPr>
          <w:trHeight w:val="182"/>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Beginning balance at January 1,</w:t>
            </w: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129.9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66.8</w:t>
            </w:r>
          </w:p>
        </w:tc>
      </w:tr>
      <w:tr>
        <w:trPr>
          <w:trHeight w:val="191"/>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based on tax positions related to the current period</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9"/>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for tax positions of prior periods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189"/>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Reductions for tax positions of prior periods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89"/>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Statute expirations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7"/>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Settlement refund (payment)</w:t>
            </w:r>
          </w:p>
        </w:tc>
        <w:tc>
          <w:tcPr>
            <w:tcW w:w="34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(35.9)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03"/>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Ending balance ar December 31,</w:t>
            </w: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75.7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114.2</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2020 activity reflects the impact of the effective settlement of certain tax matters. We and our subsidiaries are routinely examined by various taxing authorities. We file income tax returns in various U.S. states and in U.S. federal and other foreign jurisdictions. With few exceptions, we are no longer subject to U.S. federal tax examination for years before 2017 or state, local or non-U.S. income tax examinations for years before 2012.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148"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Included in the balance of unrecognized tax benefits as of December 31, 2020, 2019 and 2018, are $68.8 million, $122.7 million and $109.1 million (net of the federal benefit on state issues), respectively, of unrecognized tax benefits that, if recognized, would affect the effective income tax rate in future periods.</w:t>
      </w:r>
    </w:p>
    <w:p>
      <w:pPr>
        <w:spacing w:after="0" w:line="148"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We recognize potential interest and penalties related to unrecognized tax benefits in income tax expense. In 2020, 2019 and 2018 we recognized a net interest and penalty expense of $1.0 million, $4.7 million and $ 2.2 million, respectively. We have accrued $21.2 million and $20.0 million for the payment of interest and penalties as of December 31, 2020 and 2019, respectively.</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Federal and State Uncertain Tax Positions</w:t>
      </w:r>
    </w:p>
    <w:p>
      <w:pPr>
        <w:spacing w:after="0" w:line="189" w:lineRule="exact"/>
        <w:rPr>
          <w:sz w:val="20"/>
          <w:szCs w:val="20"/>
          <w:color w:val="auto"/>
        </w:rPr>
      </w:pPr>
    </w:p>
    <w:p>
      <w:pPr>
        <w:jc w:val="both"/>
        <w:ind w:right="520" w:firstLine="445"/>
        <w:spacing w:after="0" w:line="256"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and other issues as we receive additional information from various taxing authorities, including reaching settlements with such authorities.</w:t>
      </w:r>
    </w:p>
    <w:p>
      <w:pPr>
        <w:spacing w:after="0" w:line="148"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$25.0 million in the next 12 months as a result of various audit closures, settlements and expiration of the statute of limitations.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Accounting for Bioverativ Spin-off</w:t>
      </w:r>
    </w:p>
    <w:p>
      <w:pPr>
        <w:spacing w:after="0" w:line="18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February 1, 2017, in connection with the spin-off of our hemophilia business, we distributed all of the then outstanding shares of Bioverativ common stock to Biogen shareholders pursuant to a separation agreement. In March 2018 Bioverativ was acquired by Sanofi S.A. (Sanofi) and is now an indirect wholly-owned subsidiary of Sanofi. The spin-off of our hemophilia business was intended to qualify for tax-free treatment to Biogen and its shareholders under the Internal Revenue Code. Our 2017 tax return position remains open to audit. Bioverativ and Sanofi agreed to indemnify us for certain potential liabilities that may arise.</w:t>
      </w:r>
    </w:p>
    <w:p>
      <w:pPr>
        <w:spacing w:after="0" w:line="200" w:lineRule="exact"/>
        <w:rPr>
          <w:sz w:val="20"/>
          <w:szCs w:val="20"/>
          <w:color w:val="auto"/>
        </w:rPr>
      </w:pPr>
    </w:p>
    <w:p>
      <w:pPr>
        <w:spacing w:after="0" w:line="338"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2"/>
          <w:szCs w:val="22"/>
          <w:b w:val="1"/>
          <w:bCs w:val="1"/>
          <w:color w:val="578196"/>
        </w:rPr>
      </w:pPr>
      <w:r>
        <w:rPr>
          <w:rFonts w:ascii="Arial" w:cs="Arial" w:eastAsia="Arial" w:hAnsi="Arial"/>
          <w:sz w:val="22"/>
          <w:szCs w:val="22"/>
          <w:b w:val="1"/>
          <w:bCs w:val="1"/>
          <w:color w:val="578196"/>
        </w:rPr>
        <w:t>Other Consolidated Financial Statement Detail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Supplemental Cash Flow Information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 for the years ended December 31, 2020, 2019 and 2018,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18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4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r>
      <w:tr>
        <w:trPr>
          <w:trHeight w:val="18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Cash paid during the year for:</w:t>
            </w:r>
          </w:p>
        </w:tc>
        <w:tc>
          <w:tcPr>
            <w:tcW w:w="40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272.7</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243.2</w:t>
            </w:r>
          </w:p>
        </w:tc>
      </w:tr>
      <w:tr>
        <w:trPr>
          <w:trHeight w:val="189"/>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Income taxes</w:t>
            </w:r>
          </w:p>
        </w:tc>
        <w:tc>
          <w:tcPr>
            <w:tcW w:w="400" w:type="dxa"/>
            <w:vAlign w:val="bottom"/>
            <w:shd w:val="clear" w:color="auto" w:fill="DDDDDD"/>
          </w:tcPr>
          <w:p>
            <w:pPr>
              <w:spacing w:after="0"/>
              <w:rPr>
                <w:sz w:val="16"/>
                <w:szCs w:val="16"/>
                <w:color w:val="auto"/>
              </w:rPr>
            </w:pPr>
          </w:p>
        </w:tc>
        <w:tc>
          <w:tcPr>
            <w:tcW w:w="13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906.7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1,064.5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1,007.1</w:t>
            </w:r>
          </w:p>
        </w:tc>
      </w:tr>
    </w:tbl>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Non-cash Operating, Investing and Financing Activity</w:t>
      </w:r>
    </w:p>
    <w:p>
      <w:pPr>
        <w:spacing w:after="0" w:line="122"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In the fourth quarter of 2018 we accrued $300.0 million upon reaching $ 20.0 billion in total cumulative sales of FUMADERM and TECFIDERA (together, the Fumapharm Products), which was paid in the first quarter of 2019. These amounts, net of tax benefit, were accounted for as increases to goodwill in accordance with the accounting standard applicable to business combinations when we acquired Fumapharm AG.</w:t>
      </w:r>
    </w:p>
    <w:p>
      <w:pPr>
        <w:spacing w:after="0" w:line="150" w:lineRule="exact"/>
        <w:rPr>
          <w:sz w:val="20"/>
          <w:szCs w:val="20"/>
          <w:color w:val="auto"/>
        </w:rPr>
      </w:pPr>
    </w:p>
    <w:p>
      <w:pPr>
        <w:ind w:right="340" w:firstLine="445"/>
        <w:spacing w:after="0" w:line="254" w:lineRule="auto"/>
        <w:rPr>
          <w:sz w:val="20"/>
          <w:szCs w:val="20"/>
          <w:color w:val="auto"/>
        </w:rPr>
      </w:pPr>
      <w:r>
        <w:rPr>
          <w:rFonts w:ascii="Arial" w:cs="Arial" w:eastAsia="Arial" w:hAnsi="Arial"/>
          <w:sz w:val="18"/>
          <w:szCs w:val="18"/>
          <w:color w:val="auto"/>
        </w:rPr>
        <w:t xml:space="preserve">In connection with the construction of our large-scale biologics manufacturing facility in Solothurn, Switzerland, we accrued charges related to processing equipment and engineering services of approximately $12.4 million and $50.0 million in our consolidated balance sheets as of December 31, 2020 and 2019, respectively. For additional information on the construction of our manufacturing facility in Solothurn, Switzerland, please read </w:t>
      </w:r>
      <w:r>
        <w:rPr>
          <w:rFonts w:ascii="Arial" w:cs="Arial" w:eastAsia="Arial" w:hAnsi="Arial"/>
          <w:sz w:val="18"/>
          <w:szCs w:val="18"/>
          <w:i w:val="1"/>
          <w:iCs w:val="1"/>
          <w:color w:val="auto"/>
        </w:rPr>
        <w:t>Note 10, Property, Plant and Equipment,</w:t>
      </w:r>
      <w:r>
        <w:rPr>
          <w:rFonts w:ascii="Arial" w:cs="Arial" w:eastAsia="Arial" w:hAnsi="Arial"/>
          <w:sz w:val="18"/>
          <w:szCs w:val="18"/>
          <w:color w:val="auto"/>
        </w:rPr>
        <w:t xml:space="preserve"> to these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Income (Expense), Net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18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42.0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90"/>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(222.5)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(200.6)</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Gain (loss) on investments, net</w:t>
            </w:r>
          </w:p>
        </w:tc>
        <w:tc>
          <w:tcPr>
            <w:tcW w:w="380" w:type="dxa"/>
            <w:vAlign w:val="bottom"/>
            <w:shd w:val="clear" w:color="auto" w:fill="DDDDDD"/>
          </w:tcPr>
          <w:p>
            <w:pPr>
              <w:spacing w:after="0"/>
              <w:rPr>
                <w:sz w:val="16"/>
                <w:szCs w:val="16"/>
                <w:color w:val="auto"/>
              </w:rPr>
            </w:pP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685.7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119.5</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Foreign exchange gains (losses), net</w:t>
            </w:r>
          </w:p>
        </w:tc>
        <w:tc>
          <w:tcPr>
            <w:tcW w:w="380" w:type="dxa"/>
            <w:vAlign w:val="bottom"/>
            <w:shd w:val="clear" w:color="auto" w:fill="DDDDDD"/>
          </w:tcPr>
          <w:p>
            <w:pPr>
              <w:spacing w:after="0"/>
              <w:rPr>
                <w:sz w:val="16"/>
                <w:szCs w:val="16"/>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DDDDDD"/>
          </w:tcPr>
          <w:p>
            <w:pPr>
              <w:spacing w:after="0"/>
              <w:rPr>
                <w:sz w:val="16"/>
                <w:szCs w:val="16"/>
                <w:color w:val="auto"/>
              </w:rPr>
            </w:pPr>
          </w:p>
        </w:tc>
        <w:tc>
          <w:tcPr>
            <w:tcW w:w="13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2.9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Total other income (expense), net</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497.4</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firstLine="243"/>
        <w:spacing w:after="0" w:line="256" w:lineRule="auto"/>
        <w:rPr>
          <w:sz w:val="20"/>
          <w:szCs w:val="20"/>
          <w:color w:val="auto"/>
        </w:rPr>
      </w:pPr>
      <w:r>
        <w:rPr>
          <w:rFonts w:ascii="Arial" w:cs="Arial" w:eastAsia="Arial" w:hAnsi="Arial"/>
          <w:sz w:val="18"/>
          <w:szCs w:val="18"/>
          <w:color w:val="auto"/>
        </w:rPr>
        <w:t>Gain (loss)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14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For the year ended December 31, 2020, net unrealized and realized gains on our holdings in equity securities were approximately $681.8 million and $ 12.1 million, respectively, compared to net unrealized and realized gains of $150.1 million and $50.0 million in 2019. The net unrealized gains recognized during the year ended December 31, 2020, primarily reflects an increase in the fair value of Denali and Sangamo common stock of approximately $703.9 million.</w:t>
      </w:r>
    </w:p>
    <w:p>
      <w:pPr>
        <w:spacing w:after="0" w:line="150" w:lineRule="exact"/>
        <w:rPr>
          <w:sz w:val="20"/>
          <w:szCs w:val="20"/>
          <w:color w:val="auto"/>
        </w:rPr>
      </w:pPr>
    </w:p>
    <w:p>
      <w:pPr>
        <w:ind w:right="360" w:firstLine="243"/>
        <w:spacing w:after="0" w:line="261" w:lineRule="auto"/>
        <w:rPr>
          <w:sz w:val="20"/>
          <w:szCs w:val="20"/>
          <w:color w:val="auto"/>
        </w:rPr>
      </w:pPr>
      <w:r>
        <w:rPr>
          <w:rFonts w:ascii="Arial" w:cs="Arial" w:eastAsia="Arial" w:hAnsi="Arial"/>
          <w:sz w:val="18"/>
          <w:szCs w:val="18"/>
          <w:color w:val="auto"/>
        </w:rPr>
        <w:t>The following table summarizes our gain (loss) on investments, net that relates to our equity securities held as of December 31, 2020, 2019 and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right w:val="single" w:sz="8" w:color="DDDDDD"/>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during the period on equity securities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693.9</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53"/>
        </w:trPr>
        <w:tc>
          <w:tcPr>
            <w:tcW w:w="60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Less: Net gains (losses) recognized on equity securities sold during the period and on</w:t>
            </w:r>
          </w:p>
        </w:tc>
        <w:tc>
          <w:tcPr>
            <w:tcW w:w="380" w:type="dxa"/>
            <w:vAlign w:val="bottom"/>
            <w:shd w:val="clear" w:color="auto" w:fill="DDDDDD"/>
          </w:tcPr>
          <w:p>
            <w:pPr>
              <w:spacing w:after="0"/>
              <w:rPr>
                <w:sz w:val="13"/>
                <w:szCs w:val="13"/>
                <w:color w:val="auto"/>
              </w:rPr>
            </w:pPr>
          </w:p>
        </w:tc>
        <w:tc>
          <w:tcPr>
            <w:tcW w:w="1300" w:type="dxa"/>
            <w:vAlign w:val="bottom"/>
            <w:tcBorders>
              <w:right w:val="single" w:sz="8" w:color="DDDDDD"/>
            </w:tcBorders>
            <w:vMerge w:val="restart"/>
            <w:shd w:val="clear" w:color="auto" w:fill="DDDDDD"/>
          </w:tcPr>
          <w:p>
            <w:pPr>
              <w:jc w:val="right"/>
              <w:ind w:right="8"/>
              <w:spacing w:after="0"/>
              <w:rPr>
                <w:sz w:val="20"/>
                <w:szCs w:val="20"/>
                <w:color w:val="auto"/>
              </w:rPr>
            </w:pPr>
            <w:r>
              <w:rPr>
                <w:rFonts w:ascii="Arial" w:cs="Arial" w:eastAsia="Arial" w:hAnsi="Arial"/>
                <w:sz w:val="14"/>
                <w:szCs w:val="14"/>
                <w:color w:val="2573BA"/>
              </w:rPr>
              <w:t>12.1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1"/>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capital distributions</w:t>
            </w:r>
          </w:p>
        </w:tc>
        <w:tc>
          <w:tcPr>
            <w:tcW w:w="380" w:type="dxa"/>
            <w:vAlign w:val="bottom"/>
            <w:tcBorders>
              <w:bottom w:val="single" w:sz="8" w:color="auto"/>
            </w:tcBorders>
            <w:shd w:val="clear" w:color="auto" w:fill="DDDDDD"/>
          </w:tcPr>
          <w:p>
            <w:pPr>
              <w:spacing w:after="0"/>
              <w:rPr>
                <w:sz w:val="14"/>
                <w:szCs w:val="14"/>
                <w:color w:val="auto"/>
              </w:rPr>
            </w:pPr>
          </w:p>
        </w:tc>
        <w:tc>
          <w:tcPr>
            <w:tcW w:w="1300" w:type="dxa"/>
            <w:vAlign w:val="bottom"/>
            <w:tcBorders>
              <w:bottom w:val="single" w:sz="8" w:color="auto"/>
              <w:right w:val="single" w:sz="8" w:color="DDDDDD"/>
            </w:tcBorders>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Unrealized gains (losses) recognized during the period on equity securities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tcBorders>
              <w:right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2573BA"/>
              </w:rPr>
              <w:t>681.8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Accrued Expenses and Other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consists of the following:</w:t>
      </w:r>
    </w:p>
    <w:p>
      <w:pPr>
        <w:spacing w:after="0" w:line="132"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17780</wp:posOffset>
            </wp:positionV>
            <wp:extent cx="1122680" cy="2571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4">
                      <a:extLst>
                        <a:ext uri="{28A0092B-C50C-407E-A947-70E740481C1C}"/>
                      </a:extLst>
                    </a:blip>
                    <a:srcRect/>
                    <a:stretch>
                      <a:fillRect/>
                    </a:stretch>
                  </pic:blipFill>
                  <pic:spPr bwMode="auto">
                    <a:xfrm>
                      <a:off x="0" y="0"/>
                      <a:ext cx="1122680" cy="257175"/>
                    </a:xfrm>
                    <a:prstGeom prst="rect">
                      <a:avLst/>
                    </a:prstGeom>
                    <a:noFill/>
                  </pic:spPr>
                </pic:pic>
              </a:graphicData>
            </a:graphic>
          </wp:anchor>
        </w:drawing>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5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Borders>
              <w:top w:val="single" w:sz="8" w:color="auto"/>
            </w:tcBorders>
          </w:tcPr>
          <w:p>
            <w:pPr>
              <w:jc w:val="right"/>
              <w:ind w:right="708"/>
              <w:spacing w:after="0"/>
              <w:rPr>
                <w:sz w:val="20"/>
                <w:szCs w:val="20"/>
                <w:color w:val="auto"/>
              </w:rPr>
            </w:pPr>
            <w:r>
              <w:rPr>
                <w:rFonts w:ascii="Arial" w:cs="Arial" w:eastAsia="Arial" w:hAnsi="Arial"/>
                <w:sz w:val="14"/>
                <w:szCs w:val="14"/>
                <w:b w:val="1"/>
                <w:bCs w:val="1"/>
                <w:color w:val="2573BA"/>
              </w:rPr>
              <w:t>2020</w:t>
            </w:r>
          </w:p>
        </w:tc>
        <w:tc>
          <w:tcPr>
            <w:tcW w:w="182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7574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5">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Revenue-related reserves for discounts and allowances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Collaboration expenses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compensation and benefits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Royalties and licensing fees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liabilities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portion of contingent consideration obligations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accrued expenses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60" w:type="dxa"/>
            <w:vAlign w:val="bottom"/>
            <w:tcBorders>
              <w:top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color w:val="2573BA"/>
              </w:rPr>
              <w:t>$</w:t>
            </w:r>
          </w:p>
        </w:tc>
        <w:tc>
          <w:tcPr>
            <w:tcW w:w="10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1,080.6</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1,001.1</w:t>
            </w:r>
          </w:p>
        </w:tc>
      </w:tr>
      <w:tr>
        <w:trPr>
          <w:trHeight w:val="191"/>
        </w:trPr>
        <w:tc>
          <w:tcPr>
            <w:tcW w:w="660" w:type="dxa"/>
            <w:vAlign w:val="bottom"/>
            <w:shd w:val="clear" w:color="auto" w:fill="DDDDDD"/>
          </w:tcPr>
          <w:p>
            <w:pPr>
              <w:spacing w:after="0"/>
              <w:rPr>
                <w:sz w:val="16"/>
                <w:szCs w:val="16"/>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389.9</w:t>
            </w:r>
          </w:p>
        </w:tc>
        <w:tc>
          <w:tcPr>
            <w:tcW w:w="140" w:type="dxa"/>
            <w:vAlign w:val="bottom"/>
            <w:tcBorders>
              <w:left w:val="single" w:sz="8" w:color="DDDDDD"/>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281.6</w:t>
            </w:r>
          </w:p>
        </w:tc>
      </w:tr>
      <w:tr>
        <w:trPr>
          <w:trHeight w:val="189"/>
        </w:trPr>
        <w:tc>
          <w:tcPr>
            <w:tcW w:w="660" w:type="dxa"/>
            <w:vAlign w:val="bottom"/>
            <w:shd w:val="clear" w:color="auto" w:fill="DDDDDD"/>
          </w:tcPr>
          <w:p>
            <w:pPr>
              <w:spacing w:after="0"/>
              <w:rPr>
                <w:sz w:val="16"/>
                <w:szCs w:val="16"/>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333.8</w:t>
            </w:r>
          </w:p>
        </w:tc>
        <w:tc>
          <w:tcPr>
            <w:tcW w:w="140" w:type="dxa"/>
            <w:vAlign w:val="bottom"/>
            <w:tcBorders>
              <w:left w:val="single" w:sz="8" w:color="DDDDDD"/>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309.1</w:t>
            </w:r>
          </w:p>
        </w:tc>
      </w:tr>
      <w:tr>
        <w:trPr>
          <w:trHeight w:val="189"/>
        </w:trPr>
        <w:tc>
          <w:tcPr>
            <w:tcW w:w="660" w:type="dxa"/>
            <w:vAlign w:val="bottom"/>
            <w:shd w:val="clear" w:color="auto" w:fill="DDDDDD"/>
          </w:tcPr>
          <w:p>
            <w:pPr>
              <w:spacing w:after="0"/>
              <w:rPr>
                <w:sz w:val="16"/>
                <w:szCs w:val="16"/>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218.5</w:t>
            </w:r>
          </w:p>
        </w:tc>
        <w:tc>
          <w:tcPr>
            <w:tcW w:w="140" w:type="dxa"/>
            <w:vAlign w:val="bottom"/>
            <w:tcBorders>
              <w:left w:val="single" w:sz="8" w:color="DDDDDD"/>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220.9</w:t>
            </w:r>
          </w:p>
        </w:tc>
      </w:tr>
      <w:tr>
        <w:trPr>
          <w:trHeight w:val="189"/>
        </w:trPr>
        <w:tc>
          <w:tcPr>
            <w:tcW w:w="660" w:type="dxa"/>
            <w:vAlign w:val="bottom"/>
            <w:shd w:val="clear" w:color="auto" w:fill="DDDDDD"/>
          </w:tcPr>
          <w:p>
            <w:pPr>
              <w:spacing w:after="0"/>
              <w:rPr>
                <w:sz w:val="16"/>
                <w:szCs w:val="16"/>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181.5</w:t>
            </w:r>
          </w:p>
        </w:tc>
        <w:tc>
          <w:tcPr>
            <w:tcW w:w="140" w:type="dxa"/>
            <w:vAlign w:val="bottom"/>
            <w:tcBorders>
              <w:left w:val="single" w:sz="8" w:color="DDDDDD"/>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660" w:type="dxa"/>
            <w:vAlign w:val="bottom"/>
            <w:shd w:val="clear" w:color="auto" w:fill="DDDDDD"/>
          </w:tcPr>
          <w:p>
            <w:pPr>
              <w:spacing w:after="0"/>
              <w:rPr>
                <w:sz w:val="16"/>
                <w:szCs w:val="16"/>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149.6</w:t>
            </w:r>
          </w:p>
        </w:tc>
        <w:tc>
          <w:tcPr>
            <w:tcW w:w="140" w:type="dxa"/>
            <w:vAlign w:val="bottom"/>
            <w:tcBorders>
              <w:left w:val="single" w:sz="8" w:color="DDDDDD"/>
            </w:tcBorders>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148.4</w:t>
            </w:r>
          </w:p>
        </w:tc>
      </w:tr>
      <w:tr>
        <w:trPr>
          <w:trHeight w:val="188"/>
        </w:trPr>
        <w:tc>
          <w:tcPr>
            <w:tcW w:w="660" w:type="dxa"/>
            <w:vAlign w:val="bottom"/>
            <w:tcBorders>
              <w:bottom w:val="single" w:sz="8" w:color="auto"/>
            </w:tcBorders>
            <w:shd w:val="clear" w:color="auto" w:fill="DDDDDD"/>
          </w:tcPr>
          <w:p>
            <w:pPr>
              <w:spacing w:after="0"/>
              <w:rPr>
                <w:sz w:val="16"/>
                <w:szCs w:val="16"/>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791.4</w:t>
            </w:r>
          </w:p>
        </w:tc>
        <w:tc>
          <w:tcPr>
            <w:tcW w:w="140" w:type="dxa"/>
            <w:vAlign w:val="bottom"/>
            <w:tcBorders>
              <w:left w:val="single" w:sz="8" w:color="DDDDDD"/>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798.0</w:t>
            </w:r>
          </w:p>
        </w:tc>
      </w:tr>
      <w:tr>
        <w:trPr>
          <w:trHeight w:val="203"/>
        </w:trPr>
        <w:tc>
          <w:tcPr>
            <w:tcW w:w="660" w:type="dxa"/>
            <w:vAlign w:val="bottom"/>
            <w:shd w:val="clear" w:color="auto" w:fill="DDDDDD"/>
          </w:tcPr>
          <w:p>
            <w:pPr>
              <w:jc w:val="right"/>
              <w:ind w:right="48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3,145.3</w:t>
            </w:r>
          </w:p>
        </w:tc>
        <w:tc>
          <w:tcPr>
            <w:tcW w:w="800" w:type="dxa"/>
            <w:vAlign w:val="bottom"/>
            <w:tcBorders>
              <w:left w:val="single" w:sz="8" w:color="DDDDDD"/>
            </w:tcBorders>
            <w:gridSpan w:val="2"/>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2,765.8</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2">
            <w:col w:w="6880" w:space="720"/>
            <w:col w:w="3640"/>
          </w:cols>
          <w:pgMar w:left="320" w:top="144" w:right="339" w:bottom="1440" w:gutter="0" w:footer="0" w:header="0"/>
          <w:type w:val="continuous"/>
        </w:sectPr>
      </w:pPr>
    </w:p>
    <w:p>
      <w:pPr>
        <w:ind w:left="260"/>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12"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Other long-term liabilities were $ 1,329.6 million and $1,348.9 million as of December 31, 2020 and 2019, respectively, and include accrued income taxes totaling $709.9 million and $803.3 million, respectively.</w:t>
      </w:r>
    </w:p>
    <w:p>
      <w:pPr>
        <w:spacing w:after="0" w:line="126"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2"/>
          <w:szCs w:val="22"/>
          <w:b w:val="1"/>
          <w:bCs w:val="1"/>
          <w:color w:val="578196"/>
        </w:rPr>
      </w:pPr>
      <w:r>
        <w:rPr>
          <w:rFonts w:ascii="Arial" w:cs="Arial" w:eastAsia="Arial" w:hAnsi="Arial"/>
          <w:sz w:val="22"/>
          <w:szCs w:val="22"/>
          <w:b w:val="1"/>
          <w:bCs w:val="1"/>
          <w:color w:val="578196"/>
        </w:rPr>
        <w:t>Collaborative and Other Relationships</w:t>
      </w:r>
    </w:p>
    <w:p>
      <w:pPr>
        <w:spacing w:after="0" w:line="11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connection with our business strategy, we have entered into various collaboration agreements that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2" w:name="page153"/>
    <w:bookmarkEnd w:id="1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Depending on the collaborative arrangement, we may record funding receivable or payable balances with our collaboration partners, based on the nature of the cost-sharing mechanism and activity within the collaboration. Our significant collaborative arrangements are discussed below.</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Genentech, Inc. (Roche Group)</w:t>
      </w:r>
    </w:p>
    <w:p>
      <w:pPr>
        <w:spacing w:after="0" w:line="126"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and other potential anti-CD20 therapies pursuant to our collaboration arrangements with Genentech, a wholly-owned member of the Roche Group. For purposes of this footnote, we refer to RITUXAN and RITUXAN HYCELA collectively as RITUXAN.</w:t>
      </w:r>
    </w:p>
    <w:p>
      <w:pPr>
        <w:spacing w:after="0" w:line="15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collaboration arrangements will continue in effect until we mutually agree to terminate the collaboration, except that if we undergo a change in control, as defined in our collaboration agreement, Genentech has the right to present an offer to buy the rights to RITUXAN and we must either accept Genentech’s offer or purchase Genentech’s rights on the same terms as its offer. Genentech will also be deemed concurrently to have purchased our rights to OCREVUS and any other collaboration anti-CD20 products in development in exchange for a royalty as well as our rights to GAZYVA in exchange for the compensation described in the collaboration arrangement. Our collaboration with Genentech was created through a contractual arrangement and not through a joint venture or other legal entity.</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RITUXAN</w:t>
      </w:r>
    </w:p>
    <w:p>
      <w:pPr>
        <w:spacing w:after="0" w:line="108" w:lineRule="exact"/>
        <w:rPr>
          <w:sz w:val="20"/>
          <w:szCs w:val="20"/>
          <w:color w:val="auto"/>
        </w:rPr>
      </w:pPr>
    </w:p>
    <w:p>
      <w:pPr>
        <w:ind w:right="1320" w:firstLine="445"/>
        <w:spacing w:after="0" w:line="261" w:lineRule="auto"/>
        <w:rPr>
          <w:sz w:val="20"/>
          <w:szCs w:val="20"/>
          <w:color w:val="auto"/>
        </w:rPr>
      </w:pPr>
      <w:r>
        <w:rPr>
          <w:rFonts w:ascii="Arial" w:cs="Arial" w:eastAsia="Arial" w:hAnsi="Arial"/>
          <w:sz w:val="18"/>
          <w:szCs w:val="18"/>
          <w:color w:val="auto"/>
        </w:rPr>
        <w:t>Genentech and its affiliates are responsible for the worldwide manufacture of RITUXAN as well as all development and commercialization activities as follows: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co-exclusively licensed our rights to develop, commercialize and market RITUXAN in the U.S.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Canada</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co-exclusively licensed our rights to develop, commercialize and market RITUXAN in Canada.</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GAZYVA</w:t>
      </w:r>
    </w:p>
    <w:p>
      <w:pPr>
        <w:spacing w:after="0" w:line="108"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The Roche Group and its sub-licensees maintain sole responsibility for the development, manufacture and commercialization of GAZYVA in the U.S. We recognize our share of the development and commercialization expenses of GAZYVA as a reduction of our share of pre-tax profits in revenues from anti-CD20 therapeutic programs.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Commercialization of GAZYVA impacts our percentage of the co-promotion profits for RITUXAN, as summarized in the table below.</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OCREVUS</w:t>
      </w:r>
    </w:p>
    <w:p>
      <w:pPr>
        <w:spacing w:after="0" w:line="122" w:lineRule="exact"/>
        <w:rPr>
          <w:sz w:val="20"/>
          <w:szCs w:val="20"/>
          <w:color w:val="auto"/>
        </w:rPr>
      </w:pPr>
    </w:p>
    <w:p>
      <w:pPr>
        <w:ind w:right="500" w:firstLine="445"/>
        <w:spacing w:after="0" w:line="256" w:lineRule="auto"/>
        <w:rPr>
          <w:sz w:val="20"/>
          <w:szCs w:val="20"/>
          <w:color w:val="auto"/>
        </w:rPr>
      </w:pPr>
      <w:r>
        <w:rPr>
          <w:rFonts w:ascii="Arial" w:cs="Arial" w:eastAsia="Arial" w:hAnsi="Arial"/>
          <w:sz w:val="18"/>
          <w:szCs w:val="18"/>
          <w:color w:val="auto"/>
        </w:rPr>
        <w:t>In March 2017 the FDA approved OCREVUS for the treatment of RMS and PPMS. Pursuant to the terms of our collaboration arrangements with Genentech, we receive a tiered royalty on U.S. net sales from 13.5% and increasing up to 24.0% if annual net sales exceed $900.0 million. There will be a 50.0% reduction to these royalties if a biosimilar to OCREVUS is approved in the U.S.</w:t>
      </w:r>
    </w:p>
    <w:p>
      <w:pPr>
        <w:spacing w:after="0" w:line="14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 OCREVUS has been approved for the treatment of RMS and PPMS in the E.U. and certain other countries.</w:t>
      </w:r>
    </w:p>
    <w:p>
      <w:pPr>
        <w:spacing w:after="0" w:line="148"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commercialization of OCREVUS does not impact the percentage of the co-promotion profits we receive for RITUXAN or GAZYVA. Genentech is solely responsible for development and commercialization of OCREVUS and funding future costs. Genentech cannot develop OCREVUS in CLL, non-Hodgkin's lymphoma or rheumatoid arthritis. OCREVUS royalty revenues were based on our estimates from third party and market research data of OCREVUS sales occurring during the corresponding period. Differences between actual and estimated royalty revenues will be adjusted for in the period in which they become known, which is generally expected to be the following quarter.</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Profit-sharing Formulas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RITUXAN Profit Share</w:t>
      </w:r>
    </w:p>
    <w:p>
      <w:pPr>
        <w:spacing w:after="0" w:line="122" w:lineRule="exact"/>
        <w:rPr>
          <w:sz w:val="20"/>
          <w:szCs w:val="20"/>
          <w:color w:val="auto"/>
        </w:rPr>
      </w:pPr>
    </w:p>
    <w:p>
      <w:pPr>
        <w:jc w:val="both"/>
        <w:ind w:right="700" w:firstLine="445"/>
        <w:spacing w:after="0" w:line="256" w:lineRule="auto"/>
        <w:rPr>
          <w:sz w:val="20"/>
          <w:szCs w:val="20"/>
          <w:color w:val="auto"/>
        </w:rPr>
      </w:pPr>
      <w:r>
        <w:rPr>
          <w:rFonts w:ascii="Arial" w:cs="Arial" w:eastAsia="Arial" w:hAnsi="Arial"/>
          <w:sz w:val="18"/>
          <w:szCs w:val="18"/>
          <w:color w:val="auto"/>
        </w:rPr>
        <w:t>Our current pretax co-promotion profit-sharing formula for RITUXAN provides for a 30.0% share on the first $50.0 million of co-promotion operating profits earned each calendar year. Our share of annual co-promotion profits in excess of $50.0 million varies, as summarized in the table below, upon the following events: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Until GAZYVA First Non-CLL FDA Approval</w:t>
            </w:r>
          </w:p>
        </w:tc>
        <w:tc>
          <w:tcPr>
            <w:tcW w:w="27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40.0 %</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2573BA"/>
              </w:rPr>
              <w:t>After GAZYVA First Non-CLL FDA Approval until First GAZYVA Threshold Date</w:t>
            </w:r>
          </w:p>
        </w:tc>
        <w:tc>
          <w:tcPr>
            <w:tcW w:w="2740" w:type="dxa"/>
            <w:vAlign w:val="bottom"/>
          </w:tcPr>
          <w:p>
            <w:pPr>
              <w:jc w:val="right"/>
              <w:spacing w:after="0"/>
              <w:rPr>
                <w:sz w:val="20"/>
                <w:szCs w:val="20"/>
                <w:color w:val="auto"/>
              </w:rPr>
            </w:pPr>
            <w:r>
              <w:rPr>
                <w:rFonts w:ascii="Arial" w:cs="Arial" w:eastAsia="Arial" w:hAnsi="Arial"/>
                <w:sz w:val="18"/>
                <w:szCs w:val="18"/>
                <w:color w:val="2573BA"/>
              </w:rPr>
              <w:t>39.0 %</w:t>
            </w:r>
          </w:p>
        </w:tc>
      </w:tr>
      <w:tr>
        <w:trPr>
          <w:trHeight w:val="229"/>
        </w:trPr>
        <w:tc>
          <w:tcPr>
            <w:tcW w:w="84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First GAZYVA Threshold Date until Second GAZYVA Threshold Date</w:t>
            </w:r>
          </w:p>
        </w:tc>
        <w:tc>
          <w:tcPr>
            <w:tcW w:w="27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274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First Non-CLL GAZYVA FDA Approval</w:t>
      </w:r>
      <w:r>
        <w:rPr>
          <w:rFonts w:ascii="Arial" w:cs="Arial" w:eastAsia="Arial" w:hAnsi="Arial"/>
          <w:sz w:val="18"/>
          <w:szCs w:val="18"/>
          <w:color w:val="auto"/>
        </w:rPr>
        <w:t xml:space="preserve"> means the FDA’s first approval of GAZYVA in an indication other than CLL.</w:t>
      </w:r>
    </w:p>
    <w:p>
      <w:pPr>
        <w:spacing w:after="0" w:line="171" w:lineRule="exact"/>
        <w:rPr>
          <w:sz w:val="20"/>
          <w:szCs w:val="20"/>
          <w:color w:val="auto"/>
        </w:rPr>
      </w:pPr>
    </w:p>
    <w:p>
      <w:pPr>
        <w:ind w:left="420" w:right="100"/>
        <w:spacing w:after="0" w:line="254" w:lineRule="auto"/>
        <w:rPr>
          <w:sz w:val="20"/>
          <w:szCs w:val="20"/>
          <w:color w:val="auto"/>
        </w:rPr>
      </w:pPr>
      <w:r>
        <w:rPr>
          <w:rFonts w:ascii="Arial" w:cs="Arial" w:eastAsia="Arial" w:hAnsi="Arial"/>
          <w:sz w:val="18"/>
          <w:szCs w:val="18"/>
          <w:u w:val="single" w:color="auto"/>
          <w:color w:val="auto"/>
        </w:rPr>
        <w:t>First GAZYVA Threshold Date</w:t>
      </w:r>
      <w:r>
        <w:rPr>
          <w:rFonts w:ascii="Arial" w:cs="Arial" w:eastAsia="Arial" w:hAnsi="Arial"/>
          <w:sz w:val="18"/>
          <w:szCs w:val="18"/>
          <w:color w:val="auto"/>
        </w:rPr>
        <w:t xml:space="preserve"> means the earlier of (i) the date of the First Non-CLL GAZYVA FDA approval if U.S. gross sales of GAZYVA for the preceding consecutive 12-month period were at least $ 150.0 million or (ii) the first day of the calendar quarter after the date of the First Non-CLL GAZYVA FDA Approval that U.S. gross sales of GAZYVA within any consecutive 12-month period have reached $150.0 million.</w:t>
      </w:r>
    </w:p>
    <w:p>
      <w:pPr>
        <w:spacing w:after="0" w:line="150" w:lineRule="exact"/>
        <w:rPr>
          <w:sz w:val="20"/>
          <w:szCs w:val="20"/>
          <w:color w:val="auto"/>
        </w:rPr>
      </w:pPr>
    </w:p>
    <w:p>
      <w:pPr>
        <w:jc w:val="both"/>
        <w:ind w:left="420" w:right="160"/>
        <w:spacing w:after="0" w:line="256" w:lineRule="auto"/>
        <w:rPr>
          <w:sz w:val="20"/>
          <w:szCs w:val="20"/>
          <w:color w:val="auto"/>
        </w:rPr>
      </w:pPr>
      <w:r>
        <w:rPr>
          <w:rFonts w:ascii="Arial" w:cs="Arial" w:eastAsia="Arial" w:hAnsi="Arial"/>
          <w:sz w:val="18"/>
          <w:szCs w:val="18"/>
          <w:u w:val="single" w:color="auto"/>
          <w:color w:val="auto"/>
        </w:rPr>
        <w:t>Second GAZYVA Threshold Date</w:t>
      </w:r>
      <w:r>
        <w:rPr>
          <w:rFonts w:ascii="Arial" w:cs="Arial" w:eastAsia="Arial" w:hAnsi="Arial"/>
          <w:sz w:val="18"/>
          <w:szCs w:val="18"/>
          <w:color w:val="auto"/>
        </w:rPr>
        <w:t xml:space="preserve"> means the first day of the calendar quarter after U.S. gross sales of GAZYVA within any consecutive 12-month period have reached $500.0 million. The Second GAZYVA Threshold Date can be achieved regardless of whether GAZYVA has been approved in a non-CLL indication.</w:t>
      </w:r>
    </w:p>
    <w:p>
      <w:pPr>
        <w:spacing w:after="0" w:line="148"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Our share of RITUXAN pre-tax profits in the U.S. in excess of $50.0 million for the years ended December 31, 2020, 2019 and 2018, was 37.5%.</w:t>
      </w:r>
    </w:p>
    <w:p>
      <w:pPr>
        <w:spacing w:after="0" w:line="144"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In addition, should the FDA approve an anti-CD20 product other than OCREVUS or GAZYVA that is acquired or developed by Genentech and subject to the collaboration agreement, our share of the co-promotion operating profits would be between 30.0% and 37.5% based on certain events.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GAZYVA Profit Share</w:t>
      </w:r>
    </w:p>
    <w:p>
      <w:pPr>
        <w:spacing w:after="0" w:line="122"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Our current pretax profit-sharing formula for GAZYVA provides for a 35.0% share on the first $50.0 million of operating profits earned each calendar year. Our share of annual profits in excess of $50.0 million varies, as summarized in the table below, upon the following events: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Until First GAZYVA Threshold Date</w:t>
            </w:r>
          </w:p>
        </w:tc>
        <w:tc>
          <w:tcPr>
            <w:tcW w:w="29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39.0 %</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2573BA"/>
              </w:rPr>
              <w:t>After First GAZYVA Threshold Date until Second GAZYVA Threshold Date</w:t>
            </w:r>
          </w:p>
        </w:tc>
        <w:tc>
          <w:tcPr>
            <w:tcW w:w="2940" w:type="dxa"/>
            <w:vAlign w:val="bottom"/>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82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GAZYVA Threshold Date</w:t>
            </w:r>
          </w:p>
        </w:tc>
        <w:tc>
          <w:tcPr>
            <w:tcW w:w="29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35.0 %</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 of GAZYVA pre-tax profits in excess of $50.0 million for the years ended December 31, 2020, 2019 and 2018, was 37.5%.</w:t>
      </w:r>
    </w:p>
    <w:p>
      <w:pPr>
        <w:spacing w:after="0" w:line="171" w:lineRule="exact"/>
        <w:rPr>
          <w:sz w:val="20"/>
          <w:szCs w:val="20"/>
          <w:color w:val="auto"/>
        </w:rPr>
      </w:pPr>
    </w:p>
    <w:p>
      <w:pPr>
        <w:ind w:right="740" w:firstLine="445"/>
        <w:spacing w:after="0" w:line="261" w:lineRule="auto"/>
        <w:rPr>
          <w:sz w:val="20"/>
          <w:szCs w:val="20"/>
          <w:color w:val="auto"/>
        </w:rPr>
      </w:pPr>
      <w:r>
        <w:rPr>
          <w:rFonts w:ascii="Arial" w:cs="Arial" w:eastAsia="Arial" w:hAnsi="Arial"/>
          <w:sz w:val="18"/>
          <w:szCs w:val="18"/>
          <w:color w:val="auto"/>
        </w:rPr>
        <w:t>In November 2017 the FDA approved GAZYVA in combination with chemotherapy, followed by GAZYVA alone, for people with previously untreated advanced follicular lymphoma.</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Revenues from Anti-CD20 Therapeutic Programs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anti-CD20 therapeutic programs are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7"/>
        </w:trPr>
        <w:tc>
          <w:tcPr>
            <w:tcW w:w="60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Biogen's share of pre-tax profits in the U.S. for RITUXAN and GAZYVA, including the</w:t>
            </w:r>
          </w:p>
        </w:tc>
        <w:tc>
          <w:tcPr>
            <w:tcW w:w="380" w:type="dxa"/>
            <w:vAlign w:val="bottom"/>
            <w:vMerge w:val="restart"/>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1,080.2</w:t>
            </w: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1,542.4</w:t>
            </w:r>
          </w:p>
        </w:tc>
        <w:tc>
          <w:tcPr>
            <w:tcW w:w="100" w:type="dxa"/>
            <w:vAlign w:val="bottom"/>
          </w:tcPr>
          <w:p>
            <w:pPr>
              <w:spacing w:after="0"/>
              <w:rPr>
                <w:sz w:val="12"/>
                <w:szCs w:val="12"/>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1,431.9</w:t>
            </w:r>
          </w:p>
        </w:tc>
        <w:tc>
          <w:tcPr>
            <w:tcW w:w="0" w:type="dxa"/>
            <w:vAlign w:val="bottom"/>
          </w:tcPr>
          <w:p>
            <w:pPr>
              <w:spacing w:after="0"/>
              <w:rPr>
                <w:sz w:val="1"/>
                <w:szCs w:val="1"/>
                <w:color w:val="auto"/>
              </w:rPr>
            </w:pPr>
          </w:p>
        </w:tc>
      </w:tr>
      <w:tr>
        <w:trPr>
          <w:trHeight w:val="171"/>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reimbursement of selling and development expenses</w:t>
            </w:r>
          </w:p>
        </w:tc>
        <w:tc>
          <w:tcPr>
            <w:tcW w:w="380" w:type="dxa"/>
            <w:vAlign w:val="bottom"/>
            <w:vMerge w:val="continue"/>
            <w:shd w:val="clear" w:color="auto" w:fill="DDDDDD"/>
          </w:tcPr>
          <w:p>
            <w:pPr>
              <w:spacing w:after="0"/>
              <w:rPr>
                <w:sz w:val="14"/>
                <w:szCs w:val="14"/>
                <w:color w:val="auto"/>
              </w:rPr>
            </w:pPr>
          </w:p>
        </w:tc>
        <w:tc>
          <w:tcPr>
            <w:tcW w:w="1280" w:type="dxa"/>
            <w:vAlign w:val="bottom"/>
            <w:vMerge w:val="continue"/>
            <w:shd w:val="clear" w:color="auto" w:fill="DDDDDD"/>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Other revenues from anti-CD20 therapeutic programs</w:t>
            </w:r>
          </w:p>
        </w:tc>
        <w:tc>
          <w:tcPr>
            <w:tcW w:w="380" w:type="dxa"/>
            <w:vAlign w:val="bottom"/>
            <w:tcBorders>
              <w:bottom w:val="single" w:sz="8" w:color="auto"/>
            </w:tcBorders>
            <w:shd w:val="clear" w:color="auto" w:fill="DDDDDD"/>
          </w:tcPr>
          <w:p>
            <w:pPr>
              <w:spacing w:after="0"/>
              <w:rPr>
                <w:sz w:val="16"/>
                <w:szCs w:val="16"/>
                <w:color w:val="auto"/>
              </w:rPr>
            </w:pP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897.6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748.0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548.3</w:t>
            </w:r>
          </w:p>
        </w:tc>
        <w:tc>
          <w:tcPr>
            <w:tcW w:w="0" w:type="dxa"/>
            <w:vAlign w:val="bottom"/>
          </w:tcPr>
          <w:p>
            <w:pPr>
              <w:spacing w:after="0"/>
              <w:rPr>
                <w:sz w:val="1"/>
                <w:szCs w:val="1"/>
                <w:color w:val="auto"/>
              </w:rPr>
            </w:pPr>
          </w:p>
        </w:tc>
      </w:tr>
      <w:tr>
        <w:trPr>
          <w:trHeight w:val="203"/>
        </w:trPr>
        <w:tc>
          <w:tcPr>
            <w:tcW w:w="6040" w:type="dxa"/>
            <w:vAlign w:val="bottom"/>
            <w:gridSpan w:val="2"/>
          </w:tcPr>
          <w:p>
            <w:pPr>
              <w:ind w:left="360"/>
              <w:spacing w:after="0"/>
              <w:rPr>
                <w:sz w:val="20"/>
                <w:szCs w:val="20"/>
                <w:color w:val="auto"/>
              </w:rPr>
            </w:pPr>
            <w:r>
              <w:rPr>
                <w:rFonts w:ascii="Arial" w:cs="Arial" w:eastAsia="Arial" w:hAnsi="Arial"/>
                <w:sz w:val="14"/>
                <w:szCs w:val="14"/>
                <w:color w:val="auto"/>
              </w:rPr>
              <w:t>Total revenues from anti-CD20 therapeutic programs</w:t>
            </w:r>
          </w:p>
        </w:tc>
        <w:tc>
          <w:tcPr>
            <w:tcW w:w="38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1,977.8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2,290.4</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1,980.2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color w:val="auto"/>
        </w:rPr>
        <w:t>Prior to regulatory approval, we record our share of the expenses incurred by the collaboration for the development of anti-CD20 products in research and development expense in our consolidated statements of income.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4" w:name="page155"/>
    <w:bookmarkEnd w:id="1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After an anti-CD20 product is approved, we record our share of the development expenses related to that product as a reduction of our share of pre-tax profits in revenues from anti-CD20 therapeutic programs.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Ionis Pharmaceuticals, Inc.</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SPINRAZA</w:t>
      </w:r>
    </w:p>
    <w:p>
      <w:pPr>
        <w:spacing w:after="0" w:line="108"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In January 2012 we entered into a collaboration and license agreement with Ionis pursuant to which we have an exclusive, worldwide license to develop and commercialize SPINRAZA for the treatment of SMA.</w:t>
      </w:r>
    </w:p>
    <w:p>
      <w:pPr>
        <w:spacing w:after="0" w:line="14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Under our agreement with Ionis, we make royalty payments to Ionis on annual worldwide net sales of SPINRAZA using a tiered royalty rate between 11.0% and 15.0%, which are recognized in cost of sales within our consolidated statements of income. Royalty cost of sales related to sales of SPINRAZA for the years ended December 31, 2020, 2019 and 2018, totaled $286.6 million, $293.0 million and $238.0 million, respectively.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2012 Ionis Agreement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2012 we entered into an agreement with Ionis for the development and commercialization of up to three gene targets.</w:t>
      </w:r>
    </w:p>
    <w:p>
      <w:pPr>
        <w:spacing w:after="0" w:line="104"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Under this agreement, Ionis is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a license fee of up to $70.0 million to Ionis and assume global development, regulatory and commercialization responsibilities. Ionis is eligible to receive up to $130.0 million in additional milestone payments upon the achievement of certain regulatory milestones as well as royalties on future sales if we successfully develop the product candidate after option exercise.</w:t>
      </w:r>
    </w:p>
    <w:p>
      <w:pPr>
        <w:spacing w:after="0" w:line="15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Upon entering into this agreement, we made an upfront payment of $30.0 million to Ionis and agreed to make potential additional payments, prior to licensing, of up to $10.0 million based on the development of the selected product candidate as well as a mark-up of the cost estimate of the Phase 1 and Phase 2 trials. During 2015 we recognized this $10.0 million developmental milestone upon the selection of BIIB080 (tau ASO), which is currently in Phase 1 development for the potential treatment of Alzheimer's disease.</w:t>
      </w:r>
    </w:p>
    <w:p>
      <w:pPr>
        <w:spacing w:after="0" w:line="150"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In December 2019 we exercised our option with Ionis and obtained a worldwide, exclusive, royalty-bearing license to develop and commercialize BIIB080. In connection with the option exercise, we made a payment of $45.0 million to Ionis, which was recorded as research and development expense in our consolidated statements of income. Future payments may include additional milestone payments of up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$155.0 million and royalties on future sales in the low- to mid-teens if we successfully develop the product candidate after option exercise.</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2018 Ionis Agreement</w:t>
      </w:r>
    </w:p>
    <w:p>
      <w:pPr>
        <w:spacing w:after="0" w:line="108"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In June 2018 we closed a 10-year exclusive collaboration agreement with Ionis to develop novel antisense oligonucleotide (ASO) drug candidates for a broad range of neurological diseases (2018 Ionis Agreement) for a total payment of $1.0 billion, consisting of an upfront payment of $375.0 million and the purchase of approximately 11.5 million shares of Ionis common stock at a cost of $625.0 million.</w:t>
      </w:r>
    </w:p>
    <w:p>
      <w:pPr>
        <w:spacing w:after="0" w:line="14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Upon closing, we recorded $50.9 million of the $375.0 million upfront payment as prepaid services in our consolidated balance sheets and recognized the remaining $324.1 million as research and development expense in our consolidated statements of income. The amount recorded as prepaid services represented the value of the employee resources committed to the arrangement to provide research and discovery services over the term of the agreement.</w:t>
      </w:r>
    </w:p>
    <w:p>
      <w:pPr>
        <w:spacing w:after="0" w:line="15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 11.5 million shares of Ionis common stock were purchased at a premium to their fair value at the transaction closing date. The premium consisted of acquiring the shares at a price above the fair value based on the trailing 10-day weighted-average close price prior to entering into the 2018 Ionis Agreement in April 2018 and the effect of certain holding period restrictions. We recorded an asset of $ 462.9 million in investments and other assets in our consolidated balance sheets reflecting the fair value of the Ionis common stock as of the purchase date and a charge of $162.1 million to research and development expense in our consolidated statements of income in the second quarter of 2018 reflecting the premium paid for the Ionis common stock.</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5" w:name="page156"/>
    <w:bookmarkEnd w:id="1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 xml:space="preserve">Our investment in Ionis common stock is remeasured each reporting period. Changes in the fair value of our investment in Ionis common stock, including the effect of the holding period restrictions, are reflected in other income (expense), net in our consolidated statements of income. For additional information on the fair value of our investment in Ionis common stock, please read </w:t>
      </w:r>
      <w:r>
        <w:rPr>
          <w:rFonts w:ascii="Arial" w:cs="Arial" w:eastAsia="Arial" w:hAnsi="Arial"/>
          <w:sz w:val="18"/>
          <w:szCs w:val="18"/>
          <w:i w:val="1"/>
          <w:iCs w:val="1"/>
          <w:color w:val="auto"/>
        </w:rPr>
        <w:t>Note 7,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to these consolidated financial statements.</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have the option to license therapies arising out of the 2018 Ionis Agreement and will be responsible for the development and commercialization of such therapies. We may pay development milestones to Ionis of up to $125.0 million or $270.0 million for each program, depending on the indication plus an annual license fee, as well as royalties on potential net commercial sales.</w:t>
      </w:r>
    </w:p>
    <w:p>
      <w:pPr>
        <w:spacing w:after="0" w:line="148"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During the years ended December 31, 2020 and 2019, we incurred milestones of $11.3 million and $30.0 million, respectively, related to the advancement of neurological targets identified under the 2018 Ionis Agreement.</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2017 SMA Collaboration Agreement</w:t>
      </w:r>
    </w:p>
    <w:p>
      <w:pPr>
        <w:spacing w:after="0" w:line="122"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the option to license therapies arising out of this collaboration and will be responsible for their development and commercialization of such therapies.</w:t>
      </w:r>
    </w:p>
    <w:p>
      <w:pPr>
        <w:spacing w:after="0" w:line="14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Upon entering into this agreement, we made a $25.0 million upfront payment to Ionis and we may pay Ionis up to $260.0 million in additional development and regulatory milestone payments if new drug candidates advance to marketing approval. Upon commercialization, we may also pay Ionis up to $800.0 million in additional performance-based milestone payments and tiered royalties on potential net sales of such therapies.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2013 Long-term Strategic Research Agreement</w:t>
      </w:r>
    </w:p>
    <w:p>
      <w:pPr>
        <w:spacing w:after="0" w:line="10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September 2013 we entered into a six-year research collaboration agreement with Ionis under which both companies collaborate to perform discovery level research and subsequent development and commercialization activities of antisense or other therapeutics for the potential treatment of neurological diseases. Under this agreement, Ionis performs research on a set of neurological targets identified within the agreement.</w:t>
      </w:r>
    </w:p>
    <w:p>
      <w:pPr>
        <w:spacing w:after="0" w:line="150" w:lineRule="exact"/>
        <w:rPr>
          <w:sz w:val="20"/>
          <w:szCs w:val="20"/>
          <w:color w:val="auto"/>
        </w:rPr>
      </w:pPr>
    </w:p>
    <w:p>
      <w:pPr>
        <w:ind w:right="400" w:firstLine="445"/>
        <w:spacing w:after="0" w:line="256" w:lineRule="auto"/>
        <w:rPr>
          <w:sz w:val="20"/>
          <w:szCs w:val="20"/>
          <w:color w:val="auto"/>
        </w:rPr>
      </w:pPr>
      <w:r>
        <w:rPr>
          <w:rFonts w:ascii="Arial" w:cs="Arial" w:eastAsia="Arial" w:hAnsi="Arial"/>
          <w:sz w:val="18"/>
          <w:szCs w:val="18"/>
          <w:color w:val="auto"/>
        </w:rPr>
        <w:t>Ionis is eligible to receive milestone payments, license fees and royalty payments for all product candidates developed through this collaboration, with the specific amount dependent upon the modality of the product candidate advanced by us under the terms of the agreement.</w:t>
      </w:r>
    </w:p>
    <w:p>
      <w:pPr>
        <w:spacing w:after="0" w:line="148"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For non-ALS antisense product candidates, Ionis is responsible for global development through the completion of a Phase 2 trial and we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$ 130.0 million, plus additional amounts related to the cost of clinical trials conducted by Ionis under the collaboration, and royalties on future sales if we successfully develop the product candidate after option exercise.</w:t>
      </w:r>
    </w:p>
    <w:p>
      <w:pPr>
        <w:spacing w:after="0" w:line="153" w:lineRule="exact"/>
        <w:rPr>
          <w:sz w:val="20"/>
          <w:szCs w:val="20"/>
          <w:color w:val="auto"/>
        </w:rPr>
      </w:pPr>
    </w:p>
    <w:p>
      <w:pPr>
        <w:ind w:right="260" w:firstLine="405"/>
        <w:spacing w:after="0" w:line="252" w:lineRule="auto"/>
        <w:rPr>
          <w:sz w:val="20"/>
          <w:szCs w:val="20"/>
          <w:color w:val="auto"/>
        </w:rPr>
      </w:pPr>
      <w:r>
        <w:rPr>
          <w:rFonts w:ascii="Arial" w:cs="Arial" w:eastAsia="Arial" w:hAnsi="Arial"/>
          <w:sz w:val="18"/>
          <w:szCs w:val="18"/>
          <w:color w:val="auto"/>
        </w:rPr>
        <w:t>In December 2018 we exercised our option with Ionis and obtained a worldwide, exclusive, royalty-bearing license to develop and commercialize BIIB067 (tofersen), an investigational treatment for ALS with superoxide dismutase 1 (SOD1) mutations. In connection with the option exercise, we made a payment of $ 35.0 million to Ionis, which was recorded as research and development in our consolidated statements of income. Future payments may include potential post-licensing milestone payments of up to $55.0 million and royalties in the low- to mid-teen percentages on potential annual worldwide net sales. We are solely responsible for the costs and expenses related to the development, manufacturing and commercialization of tofersen following the option exercise.</w:t>
      </w:r>
    </w:p>
    <w:p>
      <w:pPr>
        <w:spacing w:after="0" w:line="154"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During the years ending December 31, 2020, 2019 and 2018, we incurred milestones of $28.0 million, $20.0 million and $18.0 million, respectively, related to the advancement of programs under this agreement, which were recorded as research and development expense in our consolidated statements of income.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6" w:name="page157"/>
    <w:bookmarkEnd w:id="1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Eisai Co., Ltd.</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BAN2401 Collaboration</w:t>
      </w:r>
    </w:p>
    <w:p>
      <w:pPr>
        <w:spacing w:after="0" w:line="122"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We have a collaboration agreement with Eisai to jointly develop and commercialize BAN2401, a monoclonal antibody that targets amyloid beta aggregates, and elenbecestat, the oral BACE (base amyloid cleaving enzyme) inhibitor, two Eisai product candidates for the potential treatment of Alzheimer's disease (the BAN2401 Collaboration). In September 2019 we and Eisai discontinued the global Phase 3 studies of elenbecestat in early Alzheimer's disease.</w:t>
      </w:r>
    </w:p>
    <w:p>
      <w:pPr>
        <w:spacing w:after="0" w:line="150" w:lineRule="exact"/>
        <w:rPr>
          <w:sz w:val="20"/>
          <w:szCs w:val="20"/>
          <w:color w:val="auto"/>
        </w:rPr>
      </w:pPr>
    </w:p>
    <w:p>
      <w:pPr>
        <w:ind w:right="300" w:firstLine="445"/>
        <w:spacing w:after="0" w:line="254" w:lineRule="auto"/>
        <w:rPr>
          <w:sz w:val="20"/>
          <w:szCs w:val="20"/>
          <w:color w:val="auto"/>
        </w:rPr>
      </w:pPr>
      <w:r>
        <w:rPr>
          <w:rFonts w:ascii="Arial" w:cs="Arial" w:eastAsia="Arial" w:hAnsi="Arial"/>
          <w:sz w:val="18"/>
          <w:szCs w:val="18"/>
          <w:color w:val="auto"/>
        </w:rPr>
        <w:t>Eisai serves as the global operational and regulatory lead for BAN2401 and all costs, including research, development, sales and marketing expenses, are shared equally between us and Eisai. If BAN2401 receives marketing approval, we and Eisai will co-promote BAN2401 and share profits equally. In addition, the BAN2401 Collaboration provides both parties with certain rights and obligations in the event of a change in control of either party.</w:t>
      </w:r>
    </w:p>
    <w:p>
      <w:pPr>
        <w:spacing w:after="0" w:line="15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BAN2401 Collaboration also provided Eisai with an option to jointly develop and commercialize aducanumab (Aducanumab Option) and an option to jointly develop and commercialize one of our anti-tau monoclonal antibodies (Anti-Tau Option). In October 2017 Eisai exercised its Aducanumab Option and we entered into a new collaboration agreement for the joint development and commercialization of aducanumab (the Aducanumab Collaboration Agreement).</w:t>
      </w:r>
    </w:p>
    <w:p>
      <w:pPr>
        <w:spacing w:after="0" w:line="150"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 Eisai has not yet exercised its Anti-Tau Option.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and sales and marketing expenses related to the BAN2401 Collaboration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14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3BA"/>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7"/>
        </w:trPr>
        <w:tc>
          <w:tcPr>
            <w:tcW w:w="60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Total development expense incurred by the collaboration related to the advancement of</w:t>
            </w:r>
          </w:p>
        </w:tc>
        <w:tc>
          <w:tcPr>
            <w:tcW w:w="340" w:type="dxa"/>
            <w:vAlign w:val="bottom"/>
            <w:vMerge w:val="restart"/>
            <w:shd w:val="clear" w:color="auto" w:fill="DDDDDD"/>
          </w:tcPr>
          <w:p>
            <w:pPr>
              <w:jc w:val="right"/>
              <w:ind w:right="168"/>
              <w:spacing w:after="0"/>
              <w:rPr>
                <w:sz w:val="20"/>
                <w:szCs w:val="20"/>
                <w:color w:val="auto"/>
              </w:rPr>
            </w:pPr>
            <w:r>
              <w:rPr>
                <w:rFonts w:ascii="Arial" w:cs="Arial" w:eastAsia="Arial" w:hAnsi="Arial"/>
                <w:sz w:val="14"/>
                <w:szCs w:val="14"/>
                <w:color w:val="2573BA"/>
              </w:rPr>
              <w:t>$</w:t>
            </w:r>
          </w:p>
        </w:tc>
        <w:tc>
          <w:tcPr>
            <w:tcW w:w="11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219.3</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348.7</w:t>
            </w:r>
          </w:p>
        </w:tc>
        <w:tc>
          <w:tcPr>
            <w:tcW w:w="120" w:type="dxa"/>
            <w:vAlign w:val="bottom"/>
          </w:tcPr>
          <w:p>
            <w:pPr>
              <w:spacing w:after="0"/>
              <w:rPr>
                <w:sz w:val="12"/>
                <w:szCs w:val="12"/>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71"/>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BAN2401 and elenbecestat</w:t>
            </w:r>
          </w:p>
        </w:tc>
        <w:tc>
          <w:tcPr>
            <w:tcW w:w="340" w:type="dxa"/>
            <w:vAlign w:val="bottom"/>
            <w:vMerge w:val="continue"/>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BAN2401 and elenbecestat development expense reflected in research</w:t>
            </w:r>
          </w:p>
        </w:tc>
        <w:tc>
          <w:tcPr>
            <w:tcW w:w="3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109.6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174.3</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72"/>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and development expense in our consolidated statements of income</w:t>
            </w:r>
          </w:p>
        </w:tc>
        <w:tc>
          <w:tcPr>
            <w:tcW w:w="340" w:type="dxa"/>
            <w:vAlign w:val="bottom"/>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collaboration</w:t>
            </w:r>
          </w:p>
        </w:tc>
        <w:tc>
          <w:tcPr>
            <w:tcW w:w="34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2"/>
        </w:trPr>
        <w:tc>
          <w:tcPr>
            <w:tcW w:w="60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BAN2401 and elenbecestat sales and marketing expense reflected in</w:t>
            </w:r>
          </w:p>
        </w:tc>
        <w:tc>
          <w:tcPr>
            <w:tcW w:w="3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1"/>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 expense in our consolidated statements of income</w:t>
            </w:r>
          </w:p>
        </w:tc>
        <w:tc>
          <w:tcPr>
            <w:tcW w:w="340" w:type="dxa"/>
            <w:vAlign w:val="bottom"/>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Aducanumab Collaboration Agreement</w:t>
      </w:r>
    </w:p>
    <w:p>
      <w:pPr>
        <w:spacing w:after="0" w:line="108"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Under the Aducanumab Collaboration Agreement, we and Eisai will co-promote aducanumab with a region-based profit split and we lead the ongoing development of aducanumab.</w:t>
      </w:r>
    </w:p>
    <w:p>
      <w:pPr>
        <w:spacing w:after="0" w:line="14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March 2019, based on a pre-specified futility analysis, we discontinued the global Phase 3 trials, EMERGE and ENGAGE, designed to evaluate the efficacy and safety of aducanumab in patients with early Alzheimer's disease. A new analysis of a larger dataset from these trials, conducted in scientific collaboration with the FDA, showed that the Phase 3 EMERGE study met its pre-specified primary and secondary endpoints. In the first quarter of 2019, as a result of the decision to discontinue the Phase 3 EMERGE and ENGAGE trials following the futility analysis, we accrued and subsequently paid approximately $45.0 million related to the termination of various clinical trials and research and development contracts net of the expected 45.0% Eisai reimbursement of development costs incurred under the Aducanumab Collaboration Agreement. In October 2019 we and Eisai announced that we plan to pursue regulatory approval for aducanumab in the U.S. In July 2020 we completed the submission of a BLA for the approval of aducanumab to the FDA.</w:t>
      </w:r>
    </w:p>
    <w:p>
      <w:pPr>
        <w:spacing w:after="0" w:line="151"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auto"/>
        </w:rPr>
        <w:t>For the period through March 31, 2018, we were responsible for 100.0% of development costs incurred by the collaboration for the advancement of aducanumab (aducanumab development expense). For the period April 1, 2018 through December 31, 2018, Eisai reimbursed us for 15.0% of aducanumab development expense incurred and beginning January 1, 2019, is reimbursing us for 45.0% of aducanumab development expense incurred.</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57" w:name="page158"/>
    <w:bookmarkEnd w:id="1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For the year ended December 31, 2020, we recognized net profit-sharing income of $33.8 million to reflect Eisai's 45.0% share of the $75.0 million milestone expense related to the submission of the BLA for the approval of aducanumab to the FDA.</w:t>
      </w:r>
    </w:p>
    <w:p>
      <w:pPr>
        <w:spacing w:after="0" w:line="14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Upon commercialization, both companies will co-promote aducanumab with a region-based profit split. We will receive a 55.0% share of the potential profits (losses) in the U.S., a 68.5% share of the potential profits (losses) in the European Union (E.U.) and a 20.0% share of the potential profits (losses) in Japan and Asia, excluding China and South Korea. The two companies will continue to share equally in the potential profits (losses) in rest of world markets. Sales and marketing expense incurred before commercialization are shared in proportion to the same region-based profit split that will be utilized to co-promote aducanumab.</w:t>
      </w:r>
    </w:p>
    <w:p>
      <w:pPr>
        <w:spacing w:after="0" w:line="151" w:lineRule="exact"/>
        <w:rPr>
          <w:sz w:val="20"/>
          <w:szCs w:val="20"/>
          <w:color w:val="auto"/>
        </w:rPr>
      </w:pPr>
    </w:p>
    <w:p>
      <w:pPr>
        <w:ind w:right="360" w:firstLine="405"/>
        <w:spacing w:after="0" w:line="261" w:lineRule="auto"/>
        <w:rPr>
          <w:sz w:val="20"/>
          <w:szCs w:val="20"/>
          <w:color w:val="auto"/>
        </w:rPr>
      </w:pPr>
      <w:r>
        <w:rPr>
          <w:rFonts w:ascii="Arial" w:cs="Arial" w:eastAsia="Arial" w:hAnsi="Arial"/>
          <w:sz w:val="18"/>
          <w:szCs w:val="18"/>
          <w:color w:val="auto"/>
        </w:rPr>
        <w:t>A summary of development, sales and marketing and milestone expense related to the Aducanumab Collaboration Agreement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14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Total aducanumab development expense</w:t>
            </w: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257ACB"/>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152.0</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264.8</w:t>
            </w:r>
          </w:p>
        </w:tc>
        <w:tc>
          <w:tcPr>
            <w:tcW w:w="0" w:type="dxa"/>
            <w:vAlign w:val="bottom"/>
          </w:tcPr>
          <w:p>
            <w:pPr>
              <w:spacing w:after="0"/>
              <w:rPr>
                <w:sz w:val="1"/>
                <w:szCs w:val="1"/>
                <w:color w:val="auto"/>
              </w:rPr>
            </w:pPr>
          </w:p>
        </w:tc>
      </w:tr>
      <w:tr>
        <w:trPr>
          <w:trHeight w:val="153"/>
        </w:trPr>
        <w:tc>
          <w:tcPr>
            <w:tcW w:w="65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aducanumab development expense reflected in research and development</w:t>
            </w:r>
          </w:p>
        </w:tc>
        <w:tc>
          <w:tcPr>
            <w:tcW w:w="3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83.6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234.6</w:t>
            </w:r>
          </w:p>
        </w:tc>
        <w:tc>
          <w:tcPr>
            <w:tcW w:w="0" w:type="dxa"/>
            <w:vAlign w:val="bottom"/>
          </w:tcPr>
          <w:p>
            <w:pPr>
              <w:spacing w:after="0"/>
              <w:rPr>
                <w:sz w:val="1"/>
                <w:szCs w:val="1"/>
                <w:color w:val="auto"/>
              </w:rPr>
            </w:pPr>
          </w:p>
        </w:tc>
      </w:tr>
      <w:tr>
        <w:trPr>
          <w:trHeight w:val="172"/>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expense in our consolidated statements of income</w:t>
            </w:r>
          </w:p>
        </w:tc>
        <w:tc>
          <w:tcPr>
            <w:tcW w:w="340" w:type="dxa"/>
            <w:vAlign w:val="bottom"/>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Total aducanumab sales and marketing expense incurred by the collaboration</w:t>
            </w:r>
          </w:p>
        </w:tc>
        <w:tc>
          <w:tcPr>
            <w:tcW w:w="34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353.0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52"/>
        </w:trPr>
        <w:tc>
          <w:tcPr>
            <w:tcW w:w="658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aducanumab sales and marketing expense reflected in selling, general and</w:t>
            </w:r>
          </w:p>
        </w:tc>
        <w:tc>
          <w:tcPr>
            <w:tcW w:w="3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193.7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2"/>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administrative expense in our consolidated statements of income</w:t>
            </w:r>
          </w:p>
        </w:tc>
        <w:tc>
          <w:tcPr>
            <w:tcW w:w="340" w:type="dxa"/>
            <w:vAlign w:val="bottom"/>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Total aducanumab collaboration third party milestone expense</w:t>
            </w:r>
          </w:p>
        </w:tc>
        <w:tc>
          <w:tcPr>
            <w:tcW w:w="34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75.0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658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Eisai's share of aducanumab milestone expense reflected in collaboration profit sharing in our</w:t>
            </w:r>
          </w:p>
        </w:tc>
        <w:tc>
          <w:tcPr>
            <w:tcW w:w="3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33.8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58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340" w:type="dxa"/>
            <w:vAlign w:val="bottom"/>
            <w:shd w:val="clear" w:color="auto" w:fill="DDDDDD"/>
          </w:tcPr>
          <w:p>
            <w:pPr>
              <w:spacing w:after="0"/>
              <w:rPr>
                <w:sz w:val="14"/>
                <w:szCs w:val="14"/>
                <w:color w:val="auto"/>
              </w:rPr>
            </w:pPr>
          </w:p>
        </w:tc>
        <w:tc>
          <w:tcPr>
            <w:tcW w:w="1140" w:type="dxa"/>
            <w:vAlign w:val="bottom"/>
            <w:vMerge w:val="continue"/>
            <w:shd w:val="clear" w:color="auto" w:fill="DDDDDD"/>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In addition, we and Eisai co-promote AVONEX, TYSABRI and TECFIDERA in Japan in certain settings and Eisai distributes AVONEX, TYSABRI, TECFIDERA and PLEGRIDY in India and other Asia-Pacific markets, excluding China.</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UCB Pharma S.A.</w:t>
      </w:r>
    </w:p>
    <w:p>
      <w:pPr>
        <w:spacing w:after="0" w:line="112"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We have a collaboration agreement with UCB Pharma S.A. (UCB) to jointly develop and commercialize dapirolizumab pegol, an anti-CD40L pegylated Fab, for the potential treatment of systemic lupus erythematosus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84"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expenses, are shared equally between us and UCB. Upon marketing approval, we and UCB will co-promote dapirolizumab pegol and share profits equally. A summary of development expense related to the UCB collaboration agreement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UCB development expense</w:t>
            </w:r>
          </w:p>
        </w:tc>
        <w:tc>
          <w:tcPr>
            <w:tcW w:w="360" w:type="dxa"/>
            <w:vAlign w:val="bottom"/>
            <w:shd w:val="clear" w:color="auto" w:fill="DDDDDD"/>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58.3</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3"/>
        </w:trPr>
        <w:tc>
          <w:tcPr>
            <w:tcW w:w="61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UCB development expense reflected in research and development expense</w:t>
            </w:r>
          </w:p>
        </w:tc>
        <w:tc>
          <w:tcPr>
            <w:tcW w:w="360" w:type="dxa"/>
            <w:vAlign w:val="bottom"/>
            <w:shd w:val="clear" w:color="auto" w:fill="DDDDDD"/>
          </w:tcPr>
          <w:p>
            <w:pPr>
              <w:spacing w:after="0"/>
              <w:rPr>
                <w:sz w:val="13"/>
                <w:szCs w:val="13"/>
                <w:color w:val="auto"/>
              </w:rPr>
            </w:pPr>
          </w:p>
        </w:tc>
        <w:tc>
          <w:tcPr>
            <w:tcW w:w="12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ACB"/>
              </w:rPr>
              <w:t>29.2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 our consolidated statements of income</w:t>
            </w:r>
          </w:p>
        </w:tc>
        <w:tc>
          <w:tcPr>
            <w:tcW w:w="360" w:type="dxa"/>
            <w:vAlign w:val="bottom"/>
            <w:shd w:val="clear" w:color="auto" w:fill="DDDDDD"/>
          </w:tcPr>
          <w:p>
            <w:pPr>
              <w:spacing w:after="0"/>
              <w:rPr>
                <w:sz w:val="14"/>
                <w:szCs w:val="14"/>
                <w:color w:val="auto"/>
              </w:rPr>
            </w:pPr>
          </w:p>
        </w:tc>
        <w:tc>
          <w:tcPr>
            <w:tcW w:w="1260" w:type="dxa"/>
            <w:vAlign w:val="bottom"/>
            <w:vMerge w:val="continue"/>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Alkermes</w:t>
      </w:r>
    </w:p>
    <w:p>
      <w:pPr>
        <w:spacing w:after="0" w:line="112" w:lineRule="exact"/>
        <w:rPr>
          <w:sz w:val="20"/>
          <w:szCs w:val="20"/>
          <w:color w:val="auto"/>
        </w:rPr>
      </w:pPr>
    </w:p>
    <w:p>
      <w:pPr>
        <w:ind w:right="600" w:firstLine="445"/>
        <w:spacing w:after="0" w:line="278" w:lineRule="auto"/>
        <w:rPr>
          <w:sz w:val="20"/>
          <w:szCs w:val="20"/>
          <w:color w:val="auto"/>
        </w:rPr>
      </w:pPr>
      <w:r>
        <w:rPr>
          <w:rFonts w:ascii="Arial" w:cs="Arial" w:eastAsia="Arial" w:hAnsi="Arial"/>
          <w:sz w:val="17"/>
          <w:szCs w:val="17"/>
          <w:color w:val="auto"/>
        </w:rPr>
        <w:t>In November 2017 we entered into an exclusive license and collaboration agreement with Alkermes Pharma Ireland Limited, a subsidiary of Alkermes plc (Alkermes), for VUMERITY, a novel fumarate for the treatment of RMS. In October 2019 the FDA approved VUMERITY in the U.S. for the treatment of RMS. In November 2019 VUMERITY became commercially available in the U.S.</w:t>
      </w:r>
    </w:p>
    <w:p>
      <w:pPr>
        <w:spacing w:after="0" w:line="131"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Under this agreement, we received an exclusive, worldwide license to develop and commercialize VUMERITY and we pay Alkermes a royalty of 15.0% on worldwide net commercial sales of VUMERITY. Royalties payable on net commercial sales of VUMERITY are subject, under certain circumstances, to tiered minimum annual payment requirements for a period of five years following FDA approval.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8" w:name="page159"/>
    <w:bookmarkEnd w:id="1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Alkermes is eligible to receive royalties in the high-single digits to sub-teen double digits of annual net commercial sales upon successful development and commercialization of new product candidates, other than VUMERITY, developed under the exclusive license from Alkermes.</w:t>
      </w:r>
    </w:p>
    <w:p>
      <w:pPr>
        <w:spacing w:after="0" w:line="148"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During the fourth quarter of 2019, following the FDA's approval of VUMERITY, we paid Alkermes $155.0 million in milestone payments, which were recorded in intangible assets in our consolidated balance sheets and will be amortized over the useful life of the product. For the years ended December 31, 2020, 2019 and 2018, we recorded $32.4 million, $53.5 million and $68.7 million, respectively, in research and development expense in our consolidated statements of income related to this collaboration.</w:t>
      </w:r>
    </w:p>
    <w:p>
      <w:pPr>
        <w:spacing w:after="0" w:line="15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Alkermes currently supplies VUMERITY to us pursuant to a supply agreement. In October 2019 we entered into a new supply agreement and amended our license and collaboration agreement with Alkermes.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Bristol-Myers Squibb Company</w:t>
      </w:r>
    </w:p>
    <w:p>
      <w:pPr>
        <w:spacing w:after="0" w:line="126"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In June 2017 we completed an exclusive license agreement with Bristol-Myers Squibb Company (BMS) for the development and potential commercialization of BIIB092 (gosuranemab), an antibody targeting tau, the protein that forms the deposits, or tangles, in the brain associated with Alzheimer's disease.</w:t>
      </w:r>
    </w:p>
    <w:p>
      <w:pPr>
        <w:spacing w:after="0" w:line="148"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Under this agreement, we received worldwide rights to gosuranemab and are responsible for the full development and potential commercialization of gosuranemab in Alzheimer's disease and progressive supranuclear palsy (PSP).</w:t>
      </w:r>
    </w:p>
    <w:p>
      <w:pPr>
        <w:spacing w:after="0" w:line="144"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In December 2019 we announced that the Phase 2 PASSPORT study investigating gosuranemab in individuals with PSP did not meet its primary endpoint. Based on these results, we discontinued development of gosuranemab in PSP and other primary tauopathies. We will continue our ongoing Phase 2 TANGO study of gosuranemab for mild cognitive impairment due to Alzheimer's disease or mild Alzheimer's disease, given differences in disease pathology.</w:t>
      </w:r>
    </w:p>
    <w:p>
      <w:pPr>
        <w:spacing w:after="0" w:line="15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Upon entering into this agreement, we made an upfront payment of $ 300.0 million to BMS and assumed all remaining obligations to the former shareholders of iPierian, Inc. (iPierian) related to BMS’s acquisition of iPierian in 2014. We may pay BMS up to $360.0 million in additional milestone payments, and potential royalties, and we may pay the former shareholders of iPierian up to $370.0 million in remaining milestone payments as well as potential royalties on net commercial sales.</w:t>
      </w:r>
    </w:p>
    <w:p>
      <w:pPr>
        <w:spacing w:after="0" w:line="150"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For the years ended December 31, 2020, 2019 and 2018, we recorded $ 62.4 million, $ 144.0 million and $97.0 million, respectively, in research and development expense in our consolidated statements of income related to this agreement.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Acorda Therapeutics, Inc.</w:t>
      </w:r>
    </w:p>
    <w:p>
      <w:pPr>
        <w:spacing w:after="0" w:line="11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June 2009 we entered into a collaboration and license agreement with Acorda Therapeutics, Inc. (Acorda) to develop and commercialize products containing fampridine, such as FAMPYRA, in markets outside the U.S. We are responsible for all regulatory activities and the future clinical development of related products in those markets.</w:t>
      </w:r>
    </w:p>
    <w:p>
      <w:pPr>
        <w:spacing w:after="0" w:line="148"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Under this agreement, we pay tiered royalties based on the level of ex-U.S. net sales and we may pay potential milestone payments based on the successful achievement of certain regulatory and commercial milestones, which would be capitalized as intangible assets upon achievement of the milestones and amortized utilizing an economic consumption model. The next expected milestone of $15.0 million, due if ex-U.S. net sales reach $100.0 million over a period of four consecutive quarters, was recognized during the third quarter of 2020 and capitalized within intangible assets, net in our consolidated balance sheet. Royalty payments are recognized in cost of sales within our consolidated statements of income.</w:t>
      </w:r>
    </w:p>
    <w:p>
      <w:pPr>
        <w:spacing w:after="0" w:line="154"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In connection with the collaboration and license agreement, we also entered into a supply agreement with Acorda for the commercial supply of FAMPYRA. This agreement is a sublicense arrangement of an existing agreement between Acorda and Alkermes Inc., who acquired Elan Drug Technologies, the original party to the license with Acorda.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9" w:name="page160"/>
    <w:bookmarkEnd w:id="1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For the years ending December 31, 2020, 2019 and 2018, total cost of sales related to royalties and commercial supply of FAMPYRA reflected in our consolidated statements of income were $44.5 million, $42.0 million and $36.5 million, respectively.</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Sage Therapeutics, Inc.</w:t>
      </w:r>
    </w:p>
    <w:p>
      <w:pPr>
        <w:spacing w:after="0" w:line="139" w:lineRule="exact"/>
        <w:rPr>
          <w:sz w:val="20"/>
          <w:szCs w:val="20"/>
          <w:color w:val="auto"/>
        </w:rPr>
      </w:pPr>
    </w:p>
    <w:p>
      <w:pPr>
        <w:ind w:right="100" w:firstLine="405"/>
        <w:spacing w:after="0"/>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zuranolone (SAGE-217) for the potential treatment of major depressive disorder, postpartum depression and other psychiatric disorders and SAGE-324 for the potential treatment of essential tremor and other neurological disorders.</w:t>
      </w:r>
    </w:p>
    <w:p>
      <w:pPr>
        <w:spacing w:after="0" w:line="95" w:lineRule="exact"/>
        <w:rPr>
          <w:sz w:val="20"/>
          <w:szCs w:val="20"/>
          <w:color w:val="auto"/>
        </w:rPr>
      </w:pPr>
    </w:p>
    <w:p>
      <w:pPr>
        <w:ind w:firstLine="405"/>
        <w:spacing w:after="0" w:line="238" w:lineRule="auto"/>
        <w:rPr>
          <w:sz w:val="20"/>
          <w:szCs w:val="20"/>
          <w:color w:val="auto"/>
        </w:rPr>
      </w:pPr>
      <w:r>
        <w:rPr>
          <w:rFonts w:ascii="Arial" w:cs="Arial" w:eastAsia="Arial" w:hAnsi="Arial"/>
          <w:sz w:val="18"/>
          <w:szCs w:val="18"/>
          <w:color w:val="auto"/>
        </w:rPr>
        <w:t>In connection of the closing of this transaction in December 2020 we purchased $650.0 million of Sage common stock, or approximately 6.2 million shares at approximately $104.14 per share, which are subject to transfer restrictions. We recorded an asset in investments and other assets in our consolidated balance sheets to reflect the initial fair value of the Sage common stock acquired and a charge of approximately $209.0 million to research and development expense in our consolidated statements of income to reflect the premium paid for the Sage common stock. We also made an upfront payment of $875.0 million that was recorded as research and development expense.</w:t>
      </w:r>
    </w:p>
    <w:p>
      <w:pPr>
        <w:spacing w:after="0" w:line="94" w:lineRule="exact"/>
        <w:rPr>
          <w:sz w:val="20"/>
          <w:szCs w:val="20"/>
          <w:color w:val="auto"/>
        </w:rPr>
      </w:pPr>
    </w:p>
    <w:p>
      <w:pPr>
        <w:ind w:right="160" w:firstLine="405"/>
        <w:spacing w:after="0" w:line="238" w:lineRule="auto"/>
        <w:rPr>
          <w:sz w:val="20"/>
          <w:szCs w:val="20"/>
          <w:color w:val="auto"/>
        </w:rPr>
      </w:pPr>
      <w:r>
        <w:rPr>
          <w:rFonts w:ascii="Arial" w:cs="Arial" w:eastAsia="Arial" w:hAnsi="Arial"/>
          <w:sz w:val="18"/>
          <w:szCs w:val="18"/>
          <w:color w:val="auto"/>
        </w:rPr>
        <w:t>We may also pay Sage development and commercial milestone payments that could total up to approximately $1.6 billion if all the specified milestones set forth in this agreement are achieved.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will pay Sage potential tiered royalties in the high teens to low twenties.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Denali Therapeutics Inc.</w:t>
      </w:r>
    </w:p>
    <w:p>
      <w:pPr>
        <w:spacing w:after="0" w:line="13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Denali's small molecule inhibitors of leucine-rich repeat kinase 2 (LRRK2) for Parkinson's disease. In addition to the LRRK2 program, we also have an exclusive option to license two preclinical programs from Denali’s Transport Vehicle platform, including its Antibody Transport Vehicle (ATV): ATV enabled anti-amyloid beta program and a second program utilizing its Transport Vehicle technology. Further, we have a right of first negotiation on two additional Transport Vehicle-enabled therapeutics, should Denali decide to seek a collaboration for such programs.</w:t>
      </w:r>
    </w:p>
    <w:p>
      <w:pPr>
        <w:spacing w:after="0" w:line="97"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As part of this collaboration we purchased approximately $465.0 million of Denali common stock in September 2020, or approximately 13 million shares at approximately $34.94 per share, which are subject to transfer restrictions. We recorded an asset in investments and other assets in our consolidated balance sheets to reflect the initial fair value of the Denali common stock acquired and a charge of approximately $41.3 million to research and development expense in our consolidated statements of income to reflect the premium paid for the Denali common stock. We also made an upfront payment of $560.0 million that was recorded as research and development expense.</w:t>
      </w:r>
    </w:p>
    <w:p>
      <w:pPr>
        <w:spacing w:after="0" w:line="97"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auto"/>
        </w:rPr>
        <w:t>We may also pay Denali development and commercial milestone payments that could total up to approximately $1.1 billion if the milestones related to the LRRK2 program are achieved. Under this agreement, both companies share responsibility and costs for global development based on specified percentages and we are responsible for commercialization and will pay Denali potential tiered royalties.</w:t>
      </w:r>
    </w:p>
    <w:p>
      <w:pPr>
        <w:spacing w:after="0" w:line="94"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For the year ended December 31, 2020, we recorded $8.8 million in research and development expense in our consolidated statements of income related to this collaboration.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Sangamo Therapeutics, Inc.</w:t>
      </w:r>
    </w:p>
    <w:p>
      <w:pPr>
        <w:spacing w:after="0" w:line="139" w:lineRule="exact"/>
        <w:rPr>
          <w:sz w:val="20"/>
          <w:szCs w:val="20"/>
          <w:color w:val="auto"/>
        </w:rPr>
      </w:pPr>
    </w:p>
    <w:p>
      <w:pPr>
        <w:ind w:right="440" w:firstLine="405"/>
        <w:spacing w:after="0" w:line="253" w:lineRule="auto"/>
        <w:rPr>
          <w:sz w:val="20"/>
          <w:szCs w:val="20"/>
          <w:color w:val="auto"/>
        </w:rPr>
      </w:pPr>
      <w:r>
        <w:rPr>
          <w:rFonts w:ascii="Arial" w:cs="Arial" w:eastAsia="Arial" w:hAnsi="Arial"/>
          <w:sz w:val="18"/>
          <w:szCs w:val="18"/>
          <w:color w:val="auto"/>
        </w:rPr>
        <w:t>In February 2020 we entered into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to modulate the expression of key genes involved in neurological diseases.</w:t>
      </w:r>
    </w:p>
    <w:p>
      <w:pPr>
        <w:spacing w:after="0" w:line="9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connection with the closing of this transaction in April 2020 we purchased $225.0 million of Sangamo common stock, or approximately 24 million shares at approximately $9.21 per share, which are subject to transfer restrictions. We recorded an asset in investments and other assets in our consolidated balance sheets to reflect the initial fair value of the Sangamo common stock acquired and a charge of approximately $83.0 million to research</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60" w:name="page161"/>
    <w:bookmarkEnd w:id="1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and development expense in our consolidated statements of income to reflect the premium paid for the Sangamo common stock. We also made an upfront payment of $125.0 million that was recorded as research and development expense.</w:t>
      </w:r>
    </w:p>
    <w:p>
      <w:pPr>
        <w:spacing w:after="0" w:line="9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may also pay Sangamo research, development, regulatory and commercial milestone payments that could total up to approximately $2.4 billion if we select all of the targets allowed under this agreement and all the specified milestones set forth in this agreement are achieved. Of this amount, up to $80.0 million relates to the selection of targets, $1.9 billion relates to the achievement of specified research, clinical development, regulatory and first commercial sale milestones and $380.0 million relates to the achievement of specified sales-based milestones if annual worldwide net sales of licensed products reach specified levels. In addition, we will pay Sangamo tiered royalties on potential net commercial sales of any products developed under this collaboration in the high single digit to double digit sub-teen percentages.</w:t>
      </w:r>
    </w:p>
    <w:p>
      <w:pPr>
        <w:spacing w:after="0" w:line="99"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For the year ended December 31, 2020, we recorded $6.4 million in research and development expense in our consolidated statements of income related to this collaboration.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Research and Discovery Arrangements</w:t>
      </w:r>
    </w:p>
    <w:p>
      <w:pPr>
        <w:spacing w:after="0" w:line="139" w:lineRule="exact"/>
        <w:rPr>
          <w:sz w:val="20"/>
          <w:szCs w:val="20"/>
          <w:color w:val="auto"/>
        </w:rPr>
      </w:pPr>
    </w:p>
    <w:p>
      <w:pPr>
        <w:ind w:right="780" w:firstLine="445"/>
        <w:spacing w:after="0" w:line="261"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w:t>
      </w:r>
    </w:p>
    <w:p>
      <w:pPr>
        <w:spacing w:after="0" w:line="122"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For the years ended December 31, 2020, 2019 and 2018, we recorded $ 92.1 million, $77.0 million and $48.6 million, respectively, as research and development expense in our consolidated statements of income related to other research and discovery related arrangements.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Samsung Bioepis Co., Ltd.</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Joint Venture Agreement</w:t>
      </w:r>
    </w:p>
    <w:p>
      <w:pPr>
        <w:spacing w:after="0" w:line="10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Samsung BioLogics contributed 280.5 billion South Korean won (approximately $250.0 million) for an 85.0% ownership interest in Samsung Bioepis and we contributed 49.5 billion South Korean won (approximately $45.0 million) for the remaining 15.0% ownership interest. In June 2018 we exercised our option under our joint venture agreement to increase our ownership percentage in Samsung Bioepis from approximately 5.0%, which reflected the effect of previous equity financings in which we did not participate, to approximately 49.9%. The share purchase transaction was completed in November 2018 and, upon closing, we paid 759.5 billion South Korean won ($676.6 million) to Samsung BioLogics. As of December 31, 2020, our ownership percentage remained at approximately 49.9%.</w:t>
      </w:r>
    </w:p>
    <w:p>
      <w:pPr>
        <w:spacing w:after="0" w:line="151"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consolidated statements of income. During 2015, as our share of losses exceeded the carrying value of our initial investment, we suspended recognizing additional losses. In the first quarter of 2019 we restarted recognizing our share of Samsung Bioepis' income (losses), and we began recognizing amortization on certain basis differences resulting from our November 2018 investment.</w:t>
      </w:r>
    </w:p>
    <w:p>
      <w:pPr>
        <w:spacing w:after="0" w:line="151"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Upon investment, the equity method of accounting requires us to identify and allocate differences between the fair value of our investment and the carrying value of our interest in the underlying net assets of the investee. These basis differences are amortized over their economic life. The total basis difference was approximately $675.0 million and relates to inventory, developed technology, IPR&amp;D and deferred tax balances. The basis differences related to inventory were amortized, net of tax, over their estimated useful lives of 1.5 years, and the basis differences related to developed technology and IPR&amp;D for marketed products will be amortized, net of tax, over their estimated useful lives of 15 years.</w:t>
      </w:r>
    </w:p>
    <w:p>
      <w:pPr>
        <w:spacing w:after="0" w:line="154"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The former chief executive officer (the incumbent chairman of the board) and the chief financial officer of our joint venture partner, Samsung BioLogics, is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1" w:name="page162"/>
    <w:bookmarkEnd w:id="1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For the year ended December 31, 2020, we recognized net income on our investment of $5.3 million, reflecting our share of income totaling $45.3 million offset by amortization of basis differences totaling $40.0 million.</w:t>
      </w:r>
    </w:p>
    <w:p>
      <w:pPr>
        <w:spacing w:after="0" w:line="144"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For the year ended December 31, 2019, we recognized net losses on our investment of $79.4 million, reflecting our share of losses totaling $1.2 million and amortization of basis differences totaling $78.2 million.</w:t>
      </w:r>
    </w:p>
    <w:p>
      <w:pPr>
        <w:spacing w:after="0" w:line="144"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As of December 31, 2020 and 2019, the carrying value of our investment in Samsung Bioepis totaled 673.8 billion South Korean won ($620.2 million) and 670.8 billion South Korean won ($580.2 million), respectively, which is classified as a component of investments and other assets within our consolidated balance sheets.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2019 Transaction</w:t>
      </w:r>
    </w:p>
    <w:p>
      <w:pPr>
        <w:spacing w:after="0" w:line="189"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SB11, a proposed ranibizumab biosimilar referencing LUCENTIS, and SB15, a proposed aflibercept biosimilar referencing EYLEA, in major markets worldwide, including the U.S., Canada, Europe, Japan and Australia. Samsung Bioepis will be responsible for development and will supply both products to us.</w:t>
      </w:r>
    </w:p>
    <w:p>
      <w:pPr>
        <w:spacing w:after="0" w:line="150"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In connection with this transaction, we made an upfront payment of $100.0 million to Samsung Bioepis in January 2020, of which $63.0 million was recorded as research and development expense in 2019 and $37.0 million was recorded as an intangible asset in 2019. Additionally, during the third quarter of 2020, we paid Samsung Bioepis a $15.0 million development milestone, which was included in research and development expense in our consolidated statements of income. We may pay Samsung Bioepis up to $195.0 million in additional development, regulatory and sales-based milestones.</w:t>
      </w:r>
    </w:p>
    <w:p>
      <w:pPr>
        <w:spacing w:after="0" w:line="151" w:lineRule="exact"/>
        <w:rPr>
          <w:sz w:val="20"/>
          <w:szCs w:val="20"/>
          <w:color w:val="auto"/>
        </w:rPr>
      </w:pPr>
    </w:p>
    <w:p>
      <w:pPr>
        <w:ind w:right="500" w:firstLine="445"/>
        <w:spacing w:after="0" w:line="256" w:lineRule="auto"/>
        <w:rPr>
          <w:sz w:val="20"/>
          <w:szCs w:val="20"/>
          <w:color w:val="auto"/>
        </w:rPr>
      </w:pPr>
      <w:r>
        <w:rPr>
          <w:rFonts w:ascii="Arial" w:cs="Arial" w:eastAsia="Arial" w:hAnsi="Arial"/>
          <w:sz w:val="18"/>
          <w:szCs w:val="18"/>
          <w:color w:val="auto"/>
        </w:rPr>
        <w:t>We also acquired an option to extend the term of our 2013 commercial agreement for BENEPALI, IMRALDI and FLIXABI by an additional five years, subject to payment of an option exercise fee of $60.0 million, and obtained an option to acquire exclusive rights to commercialize these products in China.</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2013 Commercial Agreement</w:t>
      </w:r>
    </w:p>
    <w:p>
      <w:pPr>
        <w:spacing w:after="0" w:line="12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3 anti-tumor necrosis factor (TNF) biosimilar product candidates in Europe and in the case of BENEPALI, Japan. As discussed above, we have an option to extend this agreement by an additional five years. Under this agreement, we have made upfront and clinical development milestone payments totaling $46.0 million, which were recorded as research and development expense in our consolidated statements of income as the programs they relate to had not achieved regulatory approval. We also agreed to make additional milestone payments of $25.0 million upon regulatory approval in the E.U. for each of the three anti-TNF biosimilar product candidates. IMRALDI, an adalimumab biosimilar referencing HUMIRA, FLIXABI, an infliximab biosimilar referencing REMICADE, and BENEPALI, an etanercept biosimilar referencing ENBREL, received regulatory approval in the E.U. in August 2017, May 2016 and January 2016, respectively, and we capitalized the related milestone payments totaling $75.0 million as intangible assets, net in our consolidated balance sheets.</w:t>
      </w:r>
    </w:p>
    <w:p>
      <w:pPr>
        <w:spacing w:after="0" w:line="90" w:lineRule="exact"/>
        <w:rPr>
          <w:sz w:val="20"/>
          <w:szCs w:val="20"/>
          <w:color w:val="auto"/>
        </w:rPr>
      </w:pPr>
    </w:p>
    <w:p>
      <w:pPr>
        <w:ind w:right="280" w:firstLine="445"/>
        <w:spacing w:after="0" w:line="254" w:lineRule="auto"/>
        <w:rPr>
          <w:sz w:val="20"/>
          <w:szCs w:val="20"/>
          <w:color w:val="auto"/>
        </w:rPr>
      </w:pPr>
      <w:r>
        <w:rPr>
          <w:rFonts w:ascii="Arial" w:cs="Arial" w:eastAsia="Arial" w:hAnsi="Arial"/>
          <w:sz w:val="18"/>
          <w:szCs w:val="18"/>
          <w:color w:val="auto"/>
        </w:rPr>
        <w:t>In April 2018 we and Samsung Bioepis announced an agreement with AbbVie Inc. (AbbVie) related to the commercialization of IMRALDI. Under the terms of the agreement, AbbVie granted us and Samsung Bioepis patent licenses for the use and sale of IMRALDI in Europe, on a country-by-country basis, and we make royalty payments to AbbVie on behalf of Samsung Bioepis. We began to recognize revenues on sales of IMRALDI to third parties in Europe in the fourth quarter of 2018.</w:t>
      </w:r>
    </w:p>
    <w:p>
      <w:pPr>
        <w:spacing w:after="0" w:line="150"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reflect revenues on sales of BENEPALI, IMRALDI and FLIXABI to third parties in product revenues, net in our consolidated statements of income and record the related cost of revenues and sales and marketing expenses in our consolidated statements of income to their respective line items when these costs are incurred. Royalty payments to AbbVie on sales of IMRALDI are recognized in cost of sales within our consolidated statements of income.</w:t>
      </w:r>
    </w:p>
    <w:p>
      <w:pPr>
        <w:spacing w:after="0" w:line="150"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share 50% of the profit or loss related to our commercial agreement with Samsung Bioepis, which is recognized in collaboration profit (loss) sharing in our consolidated statements of income. For the years ended December 31, 2020, 2019 and 2018, we recognized a net profit-sharing expense of $266.5 million, $241.6 million and $187.4 million, respectively, to reflect Samsung Bioepis' 50% sharing of the net collaboration profits.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2" w:name="page163"/>
    <w:bookmarkEnd w:id="1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 Services</w:t>
      </w:r>
    </w:p>
    <w:p>
      <w:pPr>
        <w:spacing w:after="0" w:line="122" w:lineRule="exact"/>
        <w:rPr>
          <w:sz w:val="20"/>
          <w:szCs w:val="20"/>
          <w:color w:val="auto"/>
        </w:rPr>
      </w:pPr>
    </w:p>
    <w:p>
      <w:pPr>
        <w:ind w:right="1060" w:firstLine="445"/>
        <w:spacing w:after="0" w:line="261" w:lineRule="auto"/>
        <w:rPr>
          <w:sz w:val="20"/>
          <w:szCs w:val="20"/>
          <w:color w:val="auto"/>
        </w:rPr>
      </w:pPr>
      <w:r>
        <w:rPr>
          <w:rFonts w:ascii="Arial" w:cs="Arial" w:eastAsia="Arial" w:hAnsi="Arial"/>
          <w:sz w:val="18"/>
          <w:szCs w:val="18"/>
          <w:color w:val="auto"/>
        </w:rPr>
        <w:t>Simultaneous with the formation of Samsung Bioepis, we also entered into a technical development services agreement, a manufacturing agreement and a license agreement with Samsung Bioepis.</w:t>
      </w:r>
    </w:p>
    <w:p>
      <w:pPr>
        <w:spacing w:after="0" w:line="144" w:lineRule="exact"/>
        <w:rPr>
          <w:sz w:val="20"/>
          <w:szCs w:val="20"/>
          <w:color w:val="auto"/>
        </w:rPr>
      </w:pPr>
    </w:p>
    <w:p>
      <w:pPr>
        <w:jc w:val="both"/>
        <w:ind w:right="240" w:firstLine="445"/>
        <w:spacing w:after="0" w:line="256" w:lineRule="auto"/>
        <w:rPr>
          <w:sz w:val="20"/>
          <w:szCs w:val="20"/>
          <w:color w:val="auto"/>
        </w:rPr>
      </w:pPr>
      <w:r>
        <w:rPr>
          <w:rFonts w:ascii="Arial" w:cs="Arial" w:eastAsia="Arial" w:hAnsi="Arial"/>
          <w:sz w:val="18"/>
          <w:szCs w:val="18"/>
          <w:color w:val="auto"/>
        </w:rPr>
        <w:t>Under the technical development services agreement, we provided Samsung Bioepis technical development and technology transfer services, which included, but were not limited to, cell culture development, purification process development, formulation development and analytical development.</w:t>
      </w:r>
    </w:p>
    <w:p>
      <w:pPr>
        <w:spacing w:after="0" w:line="148"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Under the manufacturing agreement, we manufacture clinical and commercial quantities of bulk drug substance of biosimilar products for Samsung Bioepis pursuant to contractual terms.</w:t>
      </w:r>
    </w:p>
    <w:p>
      <w:pPr>
        <w:spacing w:after="0" w:line="144"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 xml:space="preserve">Following the divestiture of our Hillerød, Denmark manufacturing operations in August 2019, FUJIFILM assumed responsibility for the manufacture of clinical and commercial quantities of bulk drug substance of biosimilar products for Samsung Bioepis. We no longer recognize revenues for the manufacturing completed after the divestiture date under the manufacturing agreements with Samsung Bioepis. 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151"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Under the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Samsung Bioepis.</w:t>
      </w:r>
    </w:p>
    <w:p>
      <w:pPr>
        <w:spacing w:after="0" w:line="148"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For the years ended December 31, 2020, 2019 and 2018, we recognized $20.9 million, $106.2 million and $ 96.4 million, respectively, in revenues under the license, technical development services and manufacturing agreements, which is reflected in revenues from collaborative and other relationships, as a component of other revenues in our consolidated statements of income.</w:t>
      </w:r>
    </w:p>
    <w:p>
      <w:pPr>
        <w:spacing w:after="0" w:line="148"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Amounts receivable from Samsung Bioepis related to the agreements discussed above were $5.1 million and $85.0 million as of December 31, 2020 and 2019, respectively. Amounts payable to Samsung Bioepis as of December 31, 2020, were $99.0 million. Amounts payable to Samsung Bioepis as of December 31, 2019, consisted of the $100.0 million upfront payment related to the transaction we completed in December 2019, as discussed above.</w:t>
      </w:r>
    </w:p>
    <w:p>
      <w:pPr>
        <w:spacing w:after="0" w:line="132" w:lineRule="exact"/>
        <w:rPr>
          <w:sz w:val="20"/>
          <w:szCs w:val="20"/>
          <w:color w:val="auto"/>
        </w:rPr>
      </w:pPr>
    </w:p>
    <w:p>
      <w:pPr>
        <w:ind w:left="600" w:hanging="592"/>
        <w:spacing w:after="0"/>
        <w:tabs>
          <w:tab w:leader="none" w:pos="600" w:val="left"/>
        </w:tabs>
        <w:numPr>
          <w:ilvl w:val="0"/>
          <w:numId w:val="124"/>
        </w:numPr>
        <w:rPr>
          <w:rFonts w:ascii="Arial" w:cs="Arial" w:eastAsia="Arial" w:hAnsi="Arial"/>
          <w:sz w:val="22"/>
          <w:szCs w:val="22"/>
          <w:b w:val="1"/>
          <w:bCs w:val="1"/>
          <w:color w:val="578196"/>
        </w:rPr>
      </w:pPr>
      <w:r>
        <w:rPr>
          <w:rFonts w:ascii="Arial" w:cs="Arial" w:eastAsia="Arial" w:hAnsi="Arial"/>
          <w:sz w:val="22"/>
          <w:szCs w:val="22"/>
          <w:b w:val="1"/>
          <w:bCs w:val="1"/>
          <w:color w:val="578196"/>
        </w:rPr>
        <w:t>Investments in Variable Interest Entities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Consolidated Variable Interest Entities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include the financial results of variable interest entities in which we are the primary beneficiary.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significant variable interest entities.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Neurimmune SubOne AG</w:t>
      </w:r>
    </w:p>
    <w:p>
      <w:pPr>
        <w:spacing w:after="0" w:line="18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have a collaboration and license agreement with Neurimmune SubOne AG (Neurimmune) for the development and commercialization of antibodies for the potential treatment of Alzheimer's disease, including aducanumab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w:t>
      </w:r>
    </w:p>
    <w:p>
      <w:pPr>
        <w:spacing w:after="0" w:line="151"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w:t>
      </w:r>
    </w:p>
    <w:p>
      <w:pPr>
        <w:spacing w:after="0" w:line="148" w:lineRule="exact"/>
        <w:rPr>
          <w:sz w:val="20"/>
          <w:szCs w:val="20"/>
          <w:color w:val="auto"/>
        </w:rPr>
      </w:pPr>
    </w:p>
    <w:p>
      <w:pPr>
        <w:ind w:right="360" w:firstLine="445"/>
        <w:spacing w:after="0" w:line="253" w:lineRule="auto"/>
        <w:rPr>
          <w:sz w:val="20"/>
          <w:szCs w:val="20"/>
          <w:color w:val="auto"/>
        </w:rPr>
      </w:pPr>
      <w:r>
        <w:rPr>
          <w:rFonts w:ascii="Arial" w:cs="Arial" w:eastAsia="Arial" w:hAnsi="Arial"/>
          <w:sz w:val="18"/>
          <w:szCs w:val="18"/>
          <w:color w:val="auto"/>
        </w:rPr>
        <w:t>In October 2017 we amended the terms of the Neurimmune Agreement and made a $150.0 million payment to Neurimmune in exchange for a 15.0% reduction in the previously negotiated royalty rates payable on products developed under the Neurimmune Agreement, including royalties payable on potential commercial sales of aducanumab. In May 2018 we made an additional $50.0 million payment to Neurimmune to further reduce the previously negotiated royalty rates payable on products developed under the Neurimmune Agreement, including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3" w:name="page164"/>
    <w:bookmarkEnd w:id="1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royalties payable on potential commercial sales of aducanumab, by an additional 5.0%. Our royalty rates payable on products developed under the Neurimmune Agreement, including royalty rates payable on potential commercial sales of aducanumab, now range from the high single digits to sub-teens. As we consolidate the results of Neurimmune, we treated these payments as distributions and recognized them as charges to noncontrolling interests in the fourth quarter of 2017 and the second quarter of 2018, as applicable.</w:t>
      </w:r>
    </w:p>
    <w:p>
      <w:pPr>
        <w:spacing w:after="0" w:line="8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Under the terms of the Neurimmune Agreement, we were required to pay Neurimmune a milestone payment of $75.0 million upon the regulatory filing with the FDA for the approval of aducanumab. During the second quarter of 2020, we paid Neurimmune $75.0 million upon the completed submission of the BLA for the approval of aducanumab to the FDA, which was recognized as a charge to noncontrolling interests for the year ended December 31, 2020. In addition, for the year ended December 31, 2020, we recognized net profit-sharing income of $33.8 million to reflect Eisai's 45.0% share of the $75.0 million milestone expense.</w:t>
      </w:r>
    </w:p>
    <w:p>
      <w:pPr>
        <w:spacing w:after="0" w:line="70" w:lineRule="exact"/>
        <w:rPr>
          <w:sz w:val="20"/>
          <w:szCs w:val="20"/>
          <w:color w:val="auto"/>
        </w:rPr>
      </w:pPr>
    </w:p>
    <w:p>
      <w:pPr>
        <w:ind w:right="300" w:firstLine="445"/>
        <w:spacing w:after="0" w:line="254" w:lineRule="auto"/>
        <w:rPr>
          <w:sz w:val="20"/>
          <w:szCs w:val="20"/>
          <w:color w:val="auto"/>
        </w:rPr>
      </w:pPr>
      <w:r>
        <w:rPr>
          <w:rFonts w:ascii="Arial" w:cs="Arial" w:eastAsia="Arial" w:hAnsi="Arial"/>
          <w:sz w:val="18"/>
          <w:szCs w:val="18"/>
          <w:color w:val="auto"/>
        </w:rPr>
        <w:t>Additionally, if aducanumab receives regulatory approval in the jurisdictions where we have submitted filings, we may pay up to approximately $200.0 million in milestones to Neurimmune in 2021, which includes $100.0 million if launched in the U.S., $50.0 million if launched in three or more countries within the E.U. and $50.0 million if launched in Japan. Milestones payable to Neurimmune are shared expenses under the Aducanumab Collaboration Agreement with Eisai.</w:t>
      </w:r>
    </w:p>
    <w:p>
      <w:pPr>
        <w:spacing w:after="0" w:line="150" w:lineRule="exact"/>
        <w:rPr>
          <w:sz w:val="20"/>
          <w:szCs w:val="20"/>
          <w:color w:val="auto"/>
        </w:rPr>
      </w:pPr>
    </w:p>
    <w:p>
      <w:pPr>
        <w:ind w:right="420" w:firstLine="445"/>
        <w:spacing w:after="0" w:line="291" w:lineRule="auto"/>
        <w:rPr>
          <w:sz w:val="20"/>
          <w:szCs w:val="20"/>
          <w:color w:val="auto"/>
        </w:rPr>
      </w:pPr>
      <w:r>
        <w:rPr>
          <w:rFonts w:ascii="Arial" w:cs="Arial" w:eastAsia="Arial" w:hAnsi="Arial"/>
          <w:sz w:val="17"/>
          <w:szCs w:val="17"/>
          <w:color w:val="auto"/>
        </w:rPr>
        <w:t>Research and development costs for which we reimburse Neurimmune are reflected in research and development expense in our consolidated statements of income. During the years ending December 31, 2020, 2019 and 2018, amounts reimbursed were immaterial.</w:t>
      </w:r>
    </w:p>
    <w:p>
      <w:pPr>
        <w:spacing w:after="0" w:line="120"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assets and liabilities of Neurimmune are not significant to our consolidated financial position or results of operations as it is a research and development organization. We have provided no financing to Neurimmune other than contractually required amounts.</w:t>
      </w:r>
    </w:p>
    <w:p>
      <w:pPr>
        <w:spacing w:after="0" w:line="144" w:lineRule="exact"/>
        <w:rPr>
          <w:sz w:val="20"/>
          <w:szCs w:val="20"/>
          <w:color w:val="auto"/>
        </w:rPr>
      </w:pPr>
    </w:p>
    <w:p>
      <w:pPr>
        <w:ind w:right="20" w:firstLine="445"/>
        <w:spacing w:after="0" w:line="278" w:lineRule="auto"/>
        <w:rPr>
          <w:sz w:val="20"/>
          <w:szCs w:val="20"/>
          <w:color w:val="auto"/>
        </w:rPr>
      </w:pPr>
      <w:r>
        <w:rPr>
          <w:rFonts w:ascii="Arial" w:cs="Arial" w:eastAsia="Arial" w:hAnsi="Arial"/>
          <w:sz w:val="17"/>
          <w:szCs w:val="17"/>
          <w:color w:val="auto"/>
        </w:rPr>
        <w:t>Under the Aducanumab Collaboration Agreement, Eisai had an option to share in the benefit and cost associated with the royalty reductions discussed above; however, Eisai did not elect to share in the benefit and cost with respect to either the October 2017 or May 2018 royalty reductions, which will impact the amount of profits (losses) on potential commercial sales of aducanumab to be shared with Eisai.</w:t>
      </w:r>
    </w:p>
    <w:p>
      <w:pPr>
        <w:spacing w:after="0" w:line="113" w:lineRule="exact"/>
        <w:rPr>
          <w:sz w:val="20"/>
          <w:szCs w:val="20"/>
          <w:color w:val="auto"/>
        </w:rPr>
      </w:pPr>
    </w:p>
    <w:p>
      <w:pPr>
        <w:ind w:right="6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Unconsolidated Variable Interest Entities</w:t>
      </w:r>
    </w:p>
    <w:p>
      <w:pPr>
        <w:spacing w:after="0" w:line="126" w:lineRule="exact"/>
        <w:rPr>
          <w:sz w:val="20"/>
          <w:szCs w:val="20"/>
          <w:color w:val="auto"/>
        </w:rPr>
      </w:pPr>
    </w:p>
    <w:p>
      <w:pPr>
        <w:jc w:val="both"/>
        <w:ind w:right="100" w:firstLine="445"/>
        <w:spacing w:after="0" w:line="256"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14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As of December 31, 2020 and 2019, the carrying value of our investments in certain biotechnology companies representing potential unconsolidated variable interest entities totaled $12.8 million and $22.7 million, respectively. Our maximum exposure to loss related to these variable interest entities is limited to the carrying value of our investments.</w:t>
      </w:r>
    </w:p>
    <w:p>
      <w:pPr>
        <w:spacing w:after="0" w:line="148" w:lineRule="exact"/>
        <w:rPr>
          <w:sz w:val="20"/>
          <w:szCs w:val="20"/>
          <w:color w:val="auto"/>
        </w:rPr>
      </w:pPr>
    </w:p>
    <w:p>
      <w:pPr>
        <w:ind w:right="540" w:firstLine="445"/>
        <w:spacing w:after="0" w:line="254"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consolidated statements of income as they are incurred. We have provided no financing to these variable interest entities other than previously contractually required amounts.</w:t>
      </w:r>
    </w:p>
    <w:p>
      <w:pPr>
        <w:spacing w:after="0" w:line="226"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22"/>
          <w:szCs w:val="22"/>
          <w:b w:val="1"/>
          <w:bCs w:val="1"/>
          <w:color w:val="578196"/>
        </w:rPr>
      </w:pPr>
      <w:r>
        <w:rPr>
          <w:rFonts w:ascii="Arial" w:cs="Arial" w:eastAsia="Arial" w:hAnsi="Arial"/>
          <w:sz w:val="22"/>
          <w:szCs w:val="22"/>
          <w:b w:val="1"/>
          <w:bCs w:val="1"/>
          <w:color w:val="578196"/>
        </w:rPr>
        <w:t>Litigation</w:t>
      </w:r>
    </w:p>
    <w:p>
      <w:pPr>
        <w:spacing w:after="0" w:line="130"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ind w:right="560" w:firstLine="405"/>
        <w:spacing w:after="0" w:line="261"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4" w:name="page165"/>
    <w:bookmarkEnd w:id="1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motion practice; (ii) information to be obtained through discovery; (iii) information as to the parties' damages claims and supporting evidence; (iv) the parties’ legal theories; and (v) the parties' settlement positions.</w:t>
      </w:r>
    </w:p>
    <w:p>
      <w:pPr>
        <w:spacing w:after="0" w:line="9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Loss Contingencies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Aducanumab Securities Litigation</w:t>
      </w:r>
    </w:p>
    <w:p>
      <w:pPr>
        <w:spacing w:after="0" w:line="135" w:lineRule="exact"/>
        <w:rPr>
          <w:sz w:val="20"/>
          <w:szCs w:val="20"/>
          <w:color w:val="auto"/>
        </w:rPr>
      </w:pPr>
    </w:p>
    <w:p>
      <w:pPr>
        <w:jc w:val="both"/>
        <w:ind w:right="180" w:firstLine="405"/>
        <w:spacing w:after="0" w:line="265" w:lineRule="auto"/>
        <w:rPr>
          <w:sz w:val="20"/>
          <w:szCs w:val="20"/>
          <w:color w:val="auto"/>
        </w:rPr>
      </w:pPr>
      <w:r>
        <w:rPr>
          <w:rFonts w:ascii="Arial" w:cs="Arial" w:eastAsia="Arial" w:hAnsi="Arial"/>
          <w:sz w:val="17"/>
          <w:szCs w:val="17"/>
          <w:color w:val="auto"/>
        </w:rPr>
        <w:t>We and certain current and former officers are named as defendants in an action filed by a shareholder on November 13, 2020, in the U.S. District Court for the Central District of California and an action filed by a shareholder on January 5, 2021, in the U.S. District Court for the District of Massachusetts. Both actions allege violations of federal securities laws under 15 U.S.C §78j(b) and §78t(a) and 17 C.F.R.</w:t>
      </w:r>
    </w:p>
    <w:p>
      <w:pPr>
        <w:ind w:right="20"/>
        <w:spacing w:after="0" w:line="261" w:lineRule="auto"/>
        <w:rPr>
          <w:sz w:val="20"/>
          <w:szCs w:val="20"/>
          <w:color w:val="auto"/>
        </w:rPr>
      </w:pPr>
      <w:r>
        <w:rPr>
          <w:rFonts w:ascii="Arial" w:cs="Arial" w:eastAsia="Arial" w:hAnsi="Arial"/>
          <w:sz w:val="18"/>
          <w:szCs w:val="18"/>
          <w:color w:val="auto"/>
        </w:rPr>
        <w:t>§240.10b-5 and are seeking a declaration of the action as a class action and an award of damages, interest and attorneys' fees. An estimate of the possible loss or range of loss cannot be made at this time. No trial date has been set.</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IMRALDI Patent Litigation</w:t>
      </w:r>
    </w:p>
    <w:p>
      <w:pPr>
        <w:spacing w:after="0" w:line="13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September 2018 Fresenius Kabi Deutschland GmbH (Fresenius Kabi) commenced proceedings for damages and injunctive relief against Biogen France SAS in the Tribunal de Grande Instance de Paris, alleging that IMRALDI, the adalimumab biosimilar product of Samsung Bioepis UK Limited that Biogen has commercialized in Europe, infringes the French counterpart of European Patent No. 3 148 510 (the '510 Patent), which was issued in June 2018 and expires in May 2035. No hearing has been scheduled.</w:t>
      </w:r>
    </w:p>
    <w:p>
      <w:pPr>
        <w:spacing w:after="0" w:line="9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 October 2018 Fresenius Kabi commenced preliminary injunction proceedings against Biogen (Denmark) Manufacturing ApS and Biogen Denmark A/S in Denmark's Maritime and Commercial High Court alleging infringement of Danish Utility Models. In June 2019 the Danish court denied Fresenius Kabi's request for a preliminary injunction. Fresenius Kabi has appealed that decision and was permitted to add a claim of infringement of the Danish counterpart of the ‘510 patent, and the appeal is pending. In July 2020 the Danish Patent Board of Appeal revoked the Danish Utility Models that were the subject of Fresenius Kabi’s October 2018 request for a preliminary injunction and Fresenius Kabi has appealed those revocations to Denmark’s Maritime and Commercial High Court. No hearing has been scheduled in that appeal.</w:t>
      </w:r>
    </w:p>
    <w:p>
      <w:pPr>
        <w:spacing w:after="0" w:line="99"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In June 2020 Fresenius Kabi commenced preliminary injunction proceedings against Biogen (Denmark) Manufacturing ApS and Biogen (Denmark) A/S in Denmark’s Maritime and Commercial High Court alleging infringement of another Danish Utility Model. A hearing has been scheduled for May 2021.</w:t>
      </w:r>
    </w:p>
    <w:p>
      <w:pPr>
        <w:spacing w:after="0" w:line="9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In November 2018 Fresenius Kabi commenced infringement proceedings for damages and injunctive relief against Biogen GmbH in the Düsseldorf Regional Court relating to the German counterpart of the ‘510 Patent. A hearing has been set for August 2021.</w:t>
      </w:r>
    </w:p>
    <w:p>
      <w:pPr>
        <w:spacing w:after="0" w:line="90"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In July 2019 Gedeon Richter PLC (Gedeon Richter) commenced proceedings against Biogen GmbH in the Düsseldorf Regional Court alleging infringement of the German counterpart of European Patent No. 3 212 667 (the '667 Patent), which was issued in September 2018 and expires in October 2035, and seeking damages and injunctive relief. A hearing has been set for November 2021.</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estimate of the possible loss or range of loss in the IMRALDI patent litigation described above cannot be made at this time.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Qui Tam Litigation</w:t>
      </w:r>
    </w:p>
    <w:p>
      <w:pPr>
        <w:spacing w:after="0" w:line="13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In July 2015 a qui tam action filed by Michael Bawduniak on behalf of the U.S. and certain states was unsealed by the U.S. District Court for the District of Massachusetts. The action alleges sales and promotional activities in violation of the federal False Claims Act and state law counterparts and seeks single and treble damages, civil penalties, interest, attorneys’ fees and costs. No trial date has been set. The U.S. has not made an intervention decision. An estimate of the possible loss or range of loss cannot be made at this time.</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65" w:name="page166"/>
    <w:bookmarkEnd w:id="1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Dispute with Former Convergence Shareholders</w:t>
      </w:r>
    </w:p>
    <w:p>
      <w:pPr>
        <w:spacing w:after="0" w:line="135" w:lineRule="exact"/>
        <w:rPr>
          <w:sz w:val="20"/>
          <w:szCs w:val="20"/>
          <w:color w:val="auto"/>
        </w:rPr>
      </w:pPr>
    </w:p>
    <w:p>
      <w:pPr>
        <w:jc w:val="both"/>
        <w:ind w:right="320" w:firstLine="405"/>
        <w:spacing w:after="0" w:line="256" w:lineRule="auto"/>
        <w:rPr>
          <w:sz w:val="20"/>
          <w:szCs w:val="20"/>
          <w:color w:val="auto"/>
        </w:rPr>
      </w:pPr>
      <w:r>
        <w:rPr>
          <w:rFonts w:ascii="Arial" w:cs="Arial" w:eastAsia="Arial" w:hAnsi="Arial"/>
          <w:sz w:val="18"/>
          <w:szCs w:val="18"/>
          <w:color w:val="auto"/>
        </w:rPr>
        <w:t>In November and December 2019 Shareholder Representative Services LLC, on behalf of the former shareholders of Convergence, sent us correspondence asserting claims of $200.0 million for alleged breach of the contract under which we acquired Convergence. We dispute the claims.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Dispute with Jacobs Switzerland GmbH</w:t>
      </w:r>
    </w:p>
    <w:p>
      <w:pPr>
        <w:spacing w:after="0" w:line="176"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Jacobs Switzerland GmbH, the general contractor for the construction of our large-scale biologics manufacturing facility in Solothurn, Switzerland, claimed additional payments were due for construction costs. We have reached an agreement in principle to resolve the claim.</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Matters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Petition for Inter Partes Review</w:t>
      </w:r>
    </w:p>
    <w:p>
      <w:pPr>
        <w:spacing w:after="0" w:line="1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In July 2018 Mylan Pharmaceuticals, Inc. (Mylan) filed a petition that was granted by the U.S. Patent Trial and Appeal Board (PTAB) for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of our U.S. Patent No. 8,399,514 (the '514 Patent). The '514 Patent includes claims covering treatment of MS with 480 mg</w:t>
      </w:r>
      <w:r>
        <w:rPr>
          <w:rFonts w:ascii="Arial" w:cs="Arial" w:eastAsia="Arial" w:hAnsi="Arial"/>
          <w:sz w:val="18"/>
          <w:szCs w:val="18"/>
          <w:i w:val="1"/>
          <w:iCs w:val="1"/>
          <w:color w:val="auto"/>
        </w:rPr>
        <w:t xml:space="preserve"> </w:t>
      </w:r>
      <w:r>
        <w:rPr>
          <w:rFonts w:ascii="Arial" w:cs="Arial" w:eastAsia="Arial" w:hAnsi="Arial"/>
          <w:sz w:val="18"/>
          <w:szCs w:val="18"/>
          <w:color w:val="auto"/>
        </w:rPr>
        <w:t>of dimethyl fumarate per day as provided for in our TECFIDERA label. In February 2020 the PTAB issued a final written decision upholding the patentability of the ‘514 Patent and in April 2020 Mylan filed an appeal in the U.S. Court of Appeals for the Federal Circuit (the Federal Circuit), which is pending.</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Hatch-Waxman Act Litigation relating to TECFIDERA Orange-Book Listed Patents</w:t>
      </w:r>
    </w:p>
    <w:p>
      <w:pPr>
        <w:spacing w:after="0" w:line="13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2017 to 2020, we filed patent infringement proceedings relating to TECFIDERA Orange-Book listed patents pursuant to the Drug Price Competition and Patent Term Restoration Act of 1984, commonly known as the Hatch-Waxman Act (the Delaware Actions), against Accord Healthcare Inc., Alkem Laboratories Ltd., Amneal Pharmaceuticals LLC, Cipla Limited, Graviti Pharmaceuticals Pvt. Ltd., Hetero USA, Inc., Lupin Atlantis Holdings SA, Macleods Pharmaceuticals, Ltd., MSN Laboratories Pvt. Ltd., Pharmathen S.A., Prinston Pharmaceutical Inc., Sandoz Inc., Shilpa Medicare Limited, Slayback Pharma LLC, Sun Pharmaceutical Industries, Ltd., Sun Pharmaceutical Industries, Inc., Sun Pharma Global FZE, Torrent Pharmaceuticals Ltd., TWi Pharmaceuticals, Inc., Windlas Healthcare Pvt. Ltd. and Zydus Pharmaceuticals (USA) Inc. (collectively, the Delaware Defendants) in the U.S. District Court for the District of Delaware (the Delaware Court) and against Mylan in the U.S. District Court for the Northern District of West Virginia (the West Virginia Court).</w:t>
      </w:r>
    </w:p>
    <w:p>
      <w:pPr>
        <w:spacing w:after="0" w:line="97"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On June 22, 2020, the West Virginia Court entered judgment for Mylan that the asserted claims of the ‘514 Patent are invalid for lack of written description. We appealed the judgment to the Federal Circuit and the appeal is pending.</w:t>
      </w:r>
    </w:p>
    <w:p>
      <w:pPr>
        <w:spacing w:after="0" w:line="9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The Delaware Court entered judgment for the Delaware Defendants on the grounds that the judgment of the West Virginia Court applies to the Delaware Actions under principles of collateral estoppel. We have appealed the judgments and the appeal is pending.</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European Patent Office Oppositions</w:t>
      </w:r>
    </w:p>
    <w:p>
      <w:pPr>
        <w:spacing w:after="0" w:line="13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2016 the European Patent Office (EPO) revoked our European Patent No. 2 137 537, which covers the treatment of MS with 480 mg of dimethyl fumarate as provided for in our TECFIDERA label. We have appealed to the Technical Boards of Appeal of the EPO and a hearing date has been set for January 2022.</w:t>
      </w:r>
    </w:p>
    <w:p>
      <w:pPr>
        <w:spacing w:after="0" w:line="94"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In March 2018 the EPO revoked Forward Pharma's European Patent No. 2 801 355, which expires in October 2025. Forward Pharma has filed an appeal to the Technical Boards of Appeal of the EPO and a hearing has been set for September 2021.</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TYSABRI Patent Revocation Matters</w:t>
      </w:r>
    </w:p>
    <w:p>
      <w:pPr>
        <w:spacing w:after="0" w:line="13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November 2017 Bioeq GMBH, affiliated with the Polpharma Group, brought an action in the Polish Patent Office seeking to revoke Polish Patent No. 215263 (the Polish '263 Patent), which corresponds to our European Patent No. 1 485 127 (the E.U. '127 Patent) and covers administration of natalizumab (TYSABRI) to treat MS. The Polish '263 Patent expires in February 2023. A hearing was held in January 2021 and a decision is pending. In August 2020 a related entity, Polpharma Biologics S.A., also brought an action seeking to revoke the Polish ‘263 Patent. No hearing has been set in this matter.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66" w:name="page167"/>
    <w:bookmarkEnd w:id="1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Swiss Pharma International AG, also affiliated with the Polpharma Group, filed actions in the District Court of the Hague, Netherlands (January 2016), the German Patents Court (March 2016) and the Commercial Court of Rome (November 2017) seeking to invalidate the Dutch, German and Italian counterparts, respectively, of the E.U. '127 Patent, which also cover administration of natalizumab (TYSABRI) to treat MS and expire in February 2023. The Dutch and German counterparts were ruled invalid. The decision in the Dutch action was affirmed on appeal and the German appeal has been withdrawn. No hearing has been set in the Italian action.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Annulment Proceedings in General Court of the European Union relating to TECFIDERA</w:t>
      </w:r>
    </w:p>
    <w:p>
      <w:pPr>
        <w:spacing w:after="0" w:line="13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Pharmaceutical Works Polpharma SA (Polpharma) and Mylan Ireland Ltd. (Mylan Ireland) have each filed applications in the General Court of the European Union (Polpharma in October 2018 and Mylan Ireland in November 2020) seeking to annul decisions of the European Medicines Agency (EMA) refusing to validate Polpharma’s and Mylan Ireland’s respective applications to market a generic version of TECFIDERA. The EMA’s refusals were on the grounds that TECFIDERA benefits from regulatory data protection. Biogen and the European Commission were granted leave to intervene in support of the EMA in the case brought by Polpharma. That case was heard in July 2020 and we are awaiting a decision. We intend to seek leave to intervene in support of the EMA in the case brought by Mylan Ireland. No hearing has been set in that matter.</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Product Liability and Other Legal Proceedings</w:t>
      </w:r>
    </w:p>
    <w:p>
      <w:pPr>
        <w:spacing w:after="0" w:line="13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24"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22"/>
          <w:szCs w:val="22"/>
          <w:b w:val="1"/>
          <w:bCs w:val="1"/>
          <w:color w:val="578196"/>
        </w:rPr>
      </w:pPr>
      <w:r>
        <w:rPr>
          <w:rFonts w:ascii="Arial" w:cs="Arial" w:eastAsia="Arial" w:hAnsi="Arial"/>
          <w:sz w:val="22"/>
          <w:szCs w:val="22"/>
          <w:b w:val="1"/>
          <w:bCs w:val="1"/>
          <w:color w:val="578196"/>
        </w:rPr>
        <w:t>Commitments and Contingencies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Royalty Payments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TYSABRI</w:t>
      </w:r>
    </w:p>
    <w:p>
      <w:pPr>
        <w:spacing w:after="0" w:line="10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2013 we acquired from Elan full ownership of all remaining rights to TYSABRI that we did not already own or control. Under the acquisition agreement, we are obligated to make contingent payments to Elan of 18.0% on annual worldwide net commercial sales up to $2.0 billion and 25.0% on annual worldwide net commercial sales that exceed $2.0 billion. Royalty payments to Elan and other third parties are recognized as cost of sales in our consolidated statements of income. Elan was acquired by Perrigo Company plc (Perrigo) in December 2013 and Perrigo subsequently sold its rights to these payments to a third-party effective January 2017.</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SPINRAZA</w:t>
      </w:r>
    </w:p>
    <w:p>
      <w:pPr>
        <w:spacing w:after="0" w:line="12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In 2016 we exercised our option to develop and commercialize SPINRAZA from Ionis. Under our agreement with Ionis, we make royalty payments to Ionis on annual worldwide net commercial sales of SPINRAZA using a tiered royalty rate between 11.0% and 15.0%, which are recorded as cost of sales in our consolidated statements of income. For additional information on our collaboration arrangements with Ionis,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VUMERITY</w:t>
      </w:r>
    </w:p>
    <w:p>
      <w:pPr>
        <w:spacing w:after="0" w:line="122"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 xml:space="preserve">In October 2019 the FDA approved VUMERITY for the treatment of RMS. Under our agreement with Alkermes, we make royalty payments to Alkermes on worldwide net commercial sales of VUMERITY using a royalty rate of 15.0%, which are recorded as cost of sales in our consolidated statements of income. Royalties payable on net commercial sales of VUMERITY are subject, under certain circumstances, to tiered minimum annual payment requirements for a period of five years following FDA approval. For additional information on our collaboration arrangement with Alkermes,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Contingent Consideration related to Business Combinations</w:t>
      </w:r>
    </w:p>
    <w:p>
      <w:pPr>
        <w:spacing w:after="0" w:line="112"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In connection with our acquisition of Convergence, we agreed to make additional payments based upon the achievement of certain milestone events.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7" w:name="page168"/>
    <w:bookmarkEnd w:id="1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As the acquisition of Convergence occurred after January 1, 2009, we recognized the contingent consideration liabilities associated with this transaction at their fair value on the acquisition date and revalue the remaining obligations each reporting period. We may pay up to approximately $400.0 million in remaining milestones related to these acquisitions.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Fumapharm AG</w:t>
      </w:r>
    </w:p>
    <w:p>
      <w:pPr>
        <w:spacing w:after="0" w:line="12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2006 we acquired Fumapharm AG. As part of this acquisition we acquired the Fumapharm Products. We were required to make contingent payments to former shareholders of Fumapharm AG and holders of their rights based on the attainment of certain cumulative sales levels of Fumapharm Products and the level of total net sales of Fumapharm Products in the prior 12-month period, as defined in the acquisition agreement, until such time as the cumulative sales level reached $20.0 billion, at which time no further contingent payments were due. During the first quarter of 2019 we paid the final $ 300.0 million contingent payment as we achieved the $20.0 billion cumulative sales levels related to the Fumapharm Products in the fourth quarter of 2018.</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Contingent Development, Regulatory and Commercial Milestone Payments</w:t>
      </w:r>
    </w:p>
    <w:p>
      <w:pPr>
        <w:spacing w:after="0" w:line="112"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Based on our development plans as of December 31, 2020, we could trigger potential future milestone payments to third parties of up to approximately $10.2 billion, including approximately $ 1.9 billion in development milestones, approximately $1.3 billion in regulatory milestones and approximately $7.0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2020,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151"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If certain clinical and commercial milestones are met, we may pay up to $86.2 million in milestones in 2021 under our current agreements. Additionally, if aducanumab receives regulatory approval in the jurisdictions where we have submitted filings, we may pay up to $200.0 million in milestones to Neurimmune in 2021, which includes $100.0 million if launched in the U.S., $50.0 million if launched in three or more countries within the E.U. and $ 50.0 million if launched in Japan. Milestones payable to Neurimmune are shared expenses under the Aducanumab Collaboration Agreement with Eisai.</w:t>
      </w:r>
    </w:p>
    <w:p>
      <w:pPr>
        <w:spacing w:after="0" w:line="151"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During the second quarter of 2020 we paid Neurimmune $ 75.0 million upon the completed submission of the BLA for the approval of aducanumab to the FDA, which was recognized as a charge to noncontrolling interests for the year ended December 31, 2020.</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Funding Commitments</w:t>
      </w:r>
    </w:p>
    <w:p>
      <w:pPr>
        <w:spacing w:after="0" w:line="126"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As of December 31, 2020, we have several ongoing clinical studies in various clinical trial stages. Our most significant clinical trial expenditures are to CROs. The contracts with CROs are generally cancellable, with notice, at our option. We recorded accrued expenses of approximately $21.7 million in our consolidated balance sheet for expenditures incurred by CROs as of December 31, 2020. We have approximately $593.0 million in cancellable future commitments based on existing CRO contracts as of December 31, 2020.</w:t>
      </w:r>
    </w:p>
    <w:p>
      <w:pPr>
        <w:spacing w:after="0" w:line="15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As part of the sale of our Hillerød, Denmark manufacturing operations to FUJIFILM,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developed this estimate using a probability-weighted estimate of future manufacturing activity and may further adjust this estimate based upon changes in business conditions, which may result in the increase or reduction of this adverse commitment obligation in subsequent periods.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Tax Related Obligations</w:t>
      </w:r>
    </w:p>
    <w:p>
      <w:pPr>
        <w:spacing w:after="0" w:line="126"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2020, we have approximately $79.6 million of liabilities associated with uncertain tax positions.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68" w:name="page169"/>
    <w:bookmarkEnd w:id="1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As of December 31, 2020 and 2019, we have accrued income tax liabilities of $697.0 million, respectively, under the Transition Toll Tax. Of the amounts accrued as of December 31, 2020, $62.0 million is expected to be paid within one year. The Transition Toll Tax will be paid over an eight--year period, which started in 2018, and does not accrue interest. For additional information on the Transition Toll Tax, please read </w:t>
      </w:r>
      <w:r>
        <w:rPr>
          <w:rFonts w:ascii="Arial" w:cs="Arial" w:eastAsia="Arial" w:hAnsi="Arial"/>
          <w:sz w:val="18"/>
          <w:szCs w:val="18"/>
          <w:i w:val="1"/>
          <w:iCs w:val="1"/>
          <w:color w:val="auto"/>
        </w:rPr>
        <w:t>Note 16, Income Taxes</w:t>
      </w:r>
      <w:r>
        <w:rPr>
          <w:rFonts w:ascii="Arial" w:cs="Arial" w:eastAsia="Arial" w:hAnsi="Arial"/>
          <w:sz w:val="18"/>
          <w:szCs w:val="18"/>
          <w:color w:val="auto"/>
        </w:rPr>
        <w:t>, to these consolidated financial statements.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Solothurn, Switzerland Manufacturing Facility</w:t>
      </w:r>
    </w:p>
    <w:p>
      <w:pPr>
        <w:spacing w:after="0" w:line="126"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We expect this facility to be partially operational during the first half of 2021. As of December 31, 2020, we had contractual commitments of approximately $9.3 million related to the construction of this facility.</w:t>
      </w:r>
    </w:p>
    <w:p>
      <w:pPr>
        <w:spacing w:after="0" w:line="211"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22"/>
          <w:szCs w:val="22"/>
          <w:b w:val="1"/>
          <w:bCs w:val="1"/>
          <w:color w:val="578196"/>
        </w:rPr>
      </w:pPr>
      <w:r>
        <w:rPr>
          <w:rFonts w:ascii="Arial" w:cs="Arial" w:eastAsia="Arial" w:hAnsi="Arial"/>
          <w:sz w:val="22"/>
          <w:szCs w:val="22"/>
          <w:b w:val="1"/>
          <w:bCs w:val="1"/>
          <w:color w:val="578196"/>
        </w:rPr>
        <w:t>Guarantees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and 2019, we did not have significant liabilities recorded for guarantees.</w:t>
      </w:r>
    </w:p>
    <w:p>
      <w:pPr>
        <w:spacing w:after="0" w:line="11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2020 and 2019.</w:t>
      </w:r>
    </w:p>
    <w:p>
      <w:pPr>
        <w:spacing w:after="0" w:line="229"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b w:val="1"/>
          <w:bCs w:val="1"/>
          <w:color w:val="578196"/>
        </w:rPr>
      </w:pPr>
      <w:r>
        <w:rPr>
          <w:rFonts w:ascii="Arial" w:cs="Arial" w:eastAsia="Arial" w:hAnsi="Arial"/>
          <w:sz w:val="22"/>
          <w:szCs w:val="22"/>
          <w:b w:val="1"/>
          <w:bCs w:val="1"/>
          <w:color w:val="578196"/>
        </w:rPr>
        <w:t>Employee Benefit Plans</w:t>
      </w:r>
    </w:p>
    <w:p>
      <w:pPr>
        <w:spacing w:after="0" w:line="130"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We sponsor various retirement and pension plans. Our estimates of liabilities and expenses for these plans incorporate a number of assumptions, including expected rates of return on plan assets and interest rates used to discount future benefits.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401(k) Savings Plan</w:t>
      </w:r>
    </w:p>
    <w:p>
      <w:pPr>
        <w:spacing w:after="0" w:line="13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97"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Expense related to our 401(k) Savings Plan totaled $44.3 million, $44.8 million and $42.2 million for the years ended December 31, 2020, 2019 and 2018, respectively.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Deferred Compensation Plan</w:t>
      </w:r>
    </w:p>
    <w:p>
      <w:pPr>
        <w:spacing w:after="0" w:line="12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that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2020 and 2019, totaled approximately $120.0 million and $114.6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Pension Plans</w:t>
      </w:r>
    </w:p>
    <w:p>
      <w:pPr>
        <w:spacing w:after="0" w:line="112"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Our retiree benefit plans include defined benefit plans for employees in our affiliates in Switzerland and Germany as well as other insignificant defined benefit plans in certain other countries where we maintain an operating presence.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69" w:name="page170"/>
    <w:bookmarkEnd w:id="1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Swiss plan is a government-mandated retirement fund that provides employees with a minimum investment return. The minimum investment return is determined annually by the Swiss government and was 1.00% in 2020, 2019 and 2018.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2020 and 2019, the Swiss plan had an unfunded net pension obligation of $75.7 million and $42.9 million, respectively, and plan assets that totaled $170.0 million and $127.1 million, respectively. In 2020, 2019 and 2018 we recognized expense totaling $15.5 million, $14.7 million and $14.8 million, respectively, related to our Swiss plan, of which $2.6 million, $1.2 million and $1.3 million, respectively, was included in other income (expense), net.</w:t>
      </w:r>
    </w:p>
    <w:p>
      <w:pPr>
        <w:spacing w:after="0" w:line="158"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The obligations under the German plans are unfunded and totaled $75.5 million and $59.6 million as of December 31, 2020 and 2019, respectively. Net periodic pension cost related to the German plans totaled $6.2 million, $5.1 million and $5.3 million for the years ended December 31, 2020, 2019 and 2018, respectively, of which $2.0 million, $1.4 million and $1.5 million, respectively, was included in other income (expense), net.</w:t>
      </w:r>
    </w:p>
    <w:p>
      <w:pPr>
        <w:spacing w:after="0" w:line="22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578196"/>
        </w:rPr>
      </w:pPr>
      <w:r>
        <w:rPr>
          <w:rFonts w:ascii="Arial" w:cs="Arial" w:eastAsia="Arial" w:hAnsi="Arial"/>
          <w:sz w:val="22"/>
          <w:szCs w:val="22"/>
          <w:b w:val="1"/>
          <w:bCs w:val="1"/>
          <w:color w:val="578196"/>
        </w:rPr>
        <w:t>Segment Information</w:t>
      </w:r>
    </w:p>
    <w:p>
      <w:pPr>
        <w:spacing w:after="0" w:line="103"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 Our Chief Executive Officer (CEO), as the chief operating decision-maker, manages and allocates resources to the operations of our company on a total company basis. 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The company is also supported by corporate staff functions. Managing and allocating resources on a total company basis enables our CEO to assess the overall level of resources available and how to best deploy these resources across functions, therapeutic areas and research and development projects that are in line with our long-term company-wide strategic goals. Consistent with this decision-making process, our CEO uses consolidated, single-segment financial information for purposes of evaluating performance, forecasting future period financial results, allocating resources and setting incentive targets.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Enterprise-wide disclosures about product revenues, other revenues and long-lived assets by geographic area are presented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Revenues are primarily attributed to individual countries based on location of the customer or licensee.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70" w:name="page171"/>
    <w:bookmarkEnd w:id="1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NOTES TO CONSOLIDATED FINANCIAL STATEMENTS — (Continued)</w:t>
      </w: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Geographic Information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contain certain financial information by geographic area:</w:t>
      </w:r>
    </w:p>
    <w:p>
      <w:pPr>
        <w:spacing w:after="0" w:line="118"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December 31, 2020</w:t>
      </w:r>
    </w:p>
    <w:p>
      <w:pPr>
        <w:sectPr>
          <w:pgSz w:w="11900" w:h="16838" w:orient="portrait"/>
          <w:cols w:equalWidth="0" w:num="1">
            <w:col w:w="11240"/>
          </w:cols>
          <w:pgMar w:left="320" w:top="144"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175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revenues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 from anti-CD20 therapeutic programs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revenues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175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revenues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 from anti-CD20 therapeutic programs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revenues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175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revenues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 from anti-CD20 therapeutic programs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revenues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Europe</w:t>
            </w:r>
          </w:p>
        </w:tc>
        <w:tc>
          <w:tcPr>
            <w:tcW w:w="100" w:type="dxa"/>
            <w:vAlign w:val="bottom"/>
            <w:tcBorders>
              <w:top w:val="single" w:sz="8" w:color="auto"/>
              <w:bottom w:val="single" w:sz="8" w:color="DBDBDB"/>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Asia</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183"/>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5,900.1</w:t>
            </w:r>
          </w:p>
        </w:tc>
        <w:tc>
          <w:tcPr>
            <w:tcW w:w="360" w:type="dxa"/>
            <w:vAlign w:val="bottom"/>
            <w:gridSpan w:val="3"/>
            <w:shd w:val="clear" w:color="auto" w:fill="DBDBDB"/>
          </w:tcPr>
          <w:p>
            <w:pPr>
              <w:jc w:val="right"/>
              <w:ind w:right="140"/>
              <w:spacing w:after="0"/>
              <w:rPr>
                <w:sz w:val="20"/>
                <w:szCs w:val="20"/>
                <w:color w:val="auto"/>
              </w:rPr>
            </w:pPr>
            <w:r>
              <w:rPr>
                <w:rFonts w:ascii="Arial" w:cs="Arial" w:eastAsia="Arial" w:hAnsi="Arial"/>
                <w:sz w:val="14"/>
                <w:szCs w:val="14"/>
                <w:color w:val="2573BA"/>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3,656.4</w:t>
            </w:r>
          </w:p>
        </w:tc>
        <w:tc>
          <w:tcPr>
            <w:tcW w:w="10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588"/>
              <w:spacing w:after="0"/>
              <w:rPr>
                <w:sz w:val="20"/>
                <w:szCs w:val="20"/>
                <w:color w:val="auto"/>
              </w:rPr>
            </w:pPr>
            <w:r>
              <w:rPr>
                <w:rFonts w:ascii="Arial" w:cs="Arial" w:eastAsia="Arial" w:hAnsi="Arial"/>
                <w:sz w:val="14"/>
                <w:szCs w:val="14"/>
                <w:color w:val="2573BA"/>
              </w:rPr>
              <w:t>$</w:t>
            </w: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w w:val="96"/>
              </w:rPr>
              <w:t>596.7</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539.0</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10,692.2</w:t>
            </w:r>
          </w:p>
        </w:tc>
      </w:tr>
      <w:tr>
        <w:trPr>
          <w:trHeight w:val="189"/>
        </w:trPr>
        <w:tc>
          <w:tcPr>
            <w:tcW w:w="28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1,897.4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5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80.3</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1,977.8</w:t>
            </w:r>
          </w:p>
        </w:tc>
      </w:tr>
      <w:tr>
        <w:trPr>
          <w:trHeight w:val="189"/>
        </w:trPr>
        <w:tc>
          <w:tcPr>
            <w:tcW w:w="28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733.6</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w:t>
            </w:r>
          </w:p>
        </w:tc>
        <w:tc>
          <w:tcPr>
            <w:tcW w:w="1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32.9</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774.6</w:t>
            </w:r>
          </w:p>
        </w:tc>
      </w:tr>
      <w:tr>
        <w:trPr>
          <w:trHeight w:val="189"/>
        </w:trPr>
        <w:tc>
          <w:tcPr>
            <w:tcW w:w="280" w:type="dxa"/>
            <w:vAlign w:val="bottom"/>
            <w:shd w:val="clear" w:color="auto" w:fill="DDDDDD"/>
          </w:tcPr>
          <w:p>
            <w:pPr>
              <w:spacing w:after="0"/>
              <w:rPr>
                <w:sz w:val="16"/>
                <w:szCs w:val="16"/>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1,496.3</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2,321.4</w:t>
            </w:r>
          </w:p>
        </w:tc>
        <w:tc>
          <w:tcPr>
            <w:tcW w:w="10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4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16.2</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10.9</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3,844.8</w:t>
            </w:r>
          </w:p>
        </w:tc>
      </w:tr>
    </w:tbl>
    <w:p>
      <w:pPr>
        <w:spacing w:after="0" w:line="270"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December 31,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Asia</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184"/>
        </w:trPr>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6,713.8</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3,794.5</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320.3</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11,379.8</w:t>
            </w:r>
          </w:p>
        </w:tc>
      </w:tr>
      <w:tr>
        <w:trPr>
          <w:trHeight w:val="189"/>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2,290.4</w:t>
            </w:r>
          </w:p>
        </w:tc>
      </w:tr>
      <w:tr>
        <w:trPr>
          <w:trHeight w:val="189"/>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707.7</w:t>
            </w:r>
          </w:p>
        </w:tc>
      </w:tr>
      <w:tr>
        <w:trPr>
          <w:trHeight w:val="189"/>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3,674.3</w:t>
            </w:r>
          </w:p>
        </w:tc>
      </w:tr>
    </w:tbl>
    <w:p>
      <w:pPr>
        <w:spacing w:after="0" w:line="269"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December 31,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Asia</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184"/>
        </w:trPr>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6,800.5</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3,370.3</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434.8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10,886.8</w:t>
            </w:r>
          </w:p>
        </w:tc>
      </w:tr>
      <w:tr>
        <w:trPr>
          <w:trHeight w:val="189"/>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1,980.2</w:t>
            </w:r>
          </w:p>
        </w:tc>
      </w:tr>
      <w:tr>
        <w:trPr>
          <w:trHeight w:val="189"/>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585.9</w:t>
            </w:r>
          </w:p>
        </w:tc>
      </w:tr>
      <w:tr>
        <w:trPr>
          <w:trHeight w:val="189"/>
        </w:trPr>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3,601.2</w:t>
            </w:r>
          </w:p>
        </w:tc>
      </w:tr>
    </w:tbl>
    <w:p>
      <w:pPr>
        <w:spacing w:after="0" w:line="138" w:lineRule="exact"/>
        <w:rPr>
          <w:sz w:val="20"/>
          <w:szCs w:val="20"/>
          <w:color w:val="auto"/>
        </w:rPr>
      </w:pPr>
    </w:p>
    <w:p>
      <w:pPr>
        <w:sectPr>
          <w:pgSz w:w="11900" w:h="16838" w:orient="portrait"/>
          <w:cols w:equalWidth="0" w:num="2">
            <w:col w:w="4140" w:space="720"/>
            <w:col w:w="6380"/>
          </w:cols>
          <w:pgMar w:left="320" w:top="144"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i w:val="1"/>
          <w:iCs w:val="1"/>
          <w:color w:val="2573BA"/>
        </w:rPr>
        <w:t>Other</w:t>
      </w:r>
    </w:p>
    <w:p>
      <w:pPr>
        <w:spacing w:after="0" w:line="126"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As of December 31, 2020, 2019 and 2018, approximately $2,180.6 million, $2,028.8 million and $1,748.5 million, respectively, of our long-lived assets were related to the construction of our large-scale biologics manufacturing facility in Solothurn, Switzerland.</w:t>
      </w:r>
    </w:p>
    <w:p>
      <w:pPr>
        <w:spacing w:after="0" w:line="14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August 2019 we completed the sale of all of the outstanding shares of our subsidiary that owned our biologics manufacturing operations in Hillerød, Denmark to FUJIFILM. As of December 31, 2018, approximately $646.5 million of our long-lived assets were related to our manufacturing facility in Hillerød, Denmark.</w:t>
      </w:r>
    </w:p>
    <w:p>
      <w:pPr>
        <w:spacing w:after="0" w:line="130" w:lineRule="exact"/>
        <w:rPr>
          <w:sz w:val="20"/>
          <w:szCs w:val="20"/>
          <w:color w:val="auto"/>
        </w:rPr>
      </w:pPr>
    </w:p>
    <w:p>
      <w:pPr>
        <w:ind w:right="200" w:firstLine="445"/>
        <w:spacing w:after="0" w:line="266" w:lineRule="auto"/>
        <w:rPr>
          <w:sz w:val="20"/>
          <w:szCs w:val="20"/>
          <w:color w:val="auto"/>
        </w:rPr>
      </w:pPr>
      <w:r>
        <w:rPr>
          <w:rFonts w:ascii="Arial" w:cs="Arial" w:eastAsia="Arial" w:hAnsi="Arial"/>
          <w:sz w:val="18"/>
          <w:szCs w:val="18"/>
          <w:color w:val="auto"/>
        </w:rPr>
        <w:t xml:space="preserve">For additional information on our large-scale biologics manufacturing facility in Solothurn, Switzerland, please read </w:t>
      </w:r>
      <w:r>
        <w:rPr>
          <w:rFonts w:ascii="Arial" w:cs="Arial" w:eastAsia="Arial" w:hAnsi="Arial"/>
          <w:sz w:val="18"/>
          <w:szCs w:val="18"/>
          <w:i w:val="1"/>
          <w:iCs w:val="1"/>
          <w:color w:val="auto"/>
        </w:rPr>
        <w:t>Note 10,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Plant and Equipment, </w:t>
      </w:r>
      <w:r>
        <w:rPr>
          <w:rFonts w:ascii="Arial" w:cs="Arial" w:eastAsia="Arial" w:hAnsi="Arial"/>
          <w:sz w:val="18"/>
          <w:szCs w:val="18"/>
          <w:color w:val="auto"/>
        </w:rPr>
        <w:t>to these consolidated financial statements. For additional information on the divestiture of our Hillerød, Denmark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1" w:name="page172"/>
    <w:bookmarkEnd w:id="1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2"/>
          <w:szCs w:val="22"/>
          <w:b w:val="1"/>
          <w:bCs w:val="1"/>
          <w:color w:val="578196"/>
        </w:rPr>
      </w:pPr>
      <w:r>
        <w:rPr>
          <w:rFonts w:ascii="Arial" w:cs="Arial" w:eastAsia="Arial" w:hAnsi="Arial"/>
          <w:sz w:val="22"/>
          <w:szCs w:val="22"/>
          <w:b w:val="1"/>
          <w:bCs w:val="1"/>
          <w:color w:val="578196"/>
        </w:rPr>
        <w:t>Quarterly Financial Data (Unaudited)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First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Second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5"/>
                <w:szCs w:val="15"/>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83"/>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2573BA"/>
              </w:rPr>
              <w:t>2020</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Product revenues, net</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2,904.6</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2,795.7</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2,690.3</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2,301.6</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10,692.2</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Revenues from anti-CD20 therapeutic programs</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520.4</w:t>
            </w:r>
          </w:p>
        </w:tc>
        <w:tc>
          <w:tcPr>
            <w:tcW w:w="240" w:type="dxa"/>
            <w:vAlign w:val="bottom"/>
            <w:gridSpan w:val="3"/>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478.3</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560.1</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419.0</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1,977.8</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109.3</w:t>
            </w:r>
          </w:p>
        </w:tc>
        <w:tc>
          <w:tcPr>
            <w:tcW w:w="20" w:type="dxa"/>
            <w:vAlign w:val="bottom"/>
            <w:shd w:val="clear" w:color="auto" w:fill="DDDDDD"/>
          </w:tcPr>
          <w:p>
            <w:pPr>
              <w:spacing w:after="0"/>
              <w:rPr>
                <w:sz w:val="16"/>
                <w:szCs w:val="16"/>
                <w:color w:val="auto"/>
              </w:rPr>
            </w:pP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407.6</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125.7</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132.0</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774.6</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3,534.3</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3,681.6</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3,376.1</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2,852.6</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13,444.6</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 xml:space="preserve">Gross profit </w:t>
            </w:r>
            <w:r>
              <w:rPr>
                <w:rFonts w:ascii="Arial" w:cs="Arial" w:eastAsia="Arial" w:hAnsi="Arial"/>
                <w:sz w:val="9"/>
                <w:szCs w:val="9"/>
                <w:color w:val="auto"/>
              </w:rPr>
              <w:t>(1)</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3,080.0</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3,270.5</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2,927.0</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2,361.9</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11,639.4</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1,392.6</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1,606.5</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703.9</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357.6</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4,060.5</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Net income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1,399.1</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1,542.1</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701.5</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357.9</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4,000.6</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12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140"/>
              <w:spacing w:after="0"/>
              <w:rPr>
                <w:sz w:val="20"/>
                <w:szCs w:val="20"/>
                <w:color w:val="auto"/>
              </w:rPr>
            </w:pPr>
            <w:r>
              <w:rPr>
                <w:rFonts w:ascii="Arial" w:cs="Arial" w:eastAsia="Arial" w:hAnsi="Arial"/>
                <w:sz w:val="14"/>
                <w:szCs w:val="14"/>
                <w:color w:val="auto"/>
              </w:rPr>
              <w:t>Basic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8.10</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9.60</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4.47</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2.33</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24.86</w:t>
            </w:r>
          </w:p>
        </w:tc>
        <w:tc>
          <w:tcPr>
            <w:tcW w:w="0" w:type="dxa"/>
            <w:vAlign w:val="bottom"/>
          </w:tcPr>
          <w:p>
            <w:pPr>
              <w:spacing w:after="0"/>
              <w:rPr>
                <w:sz w:val="1"/>
                <w:szCs w:val="1"/>
                <w:color w:val="auto"/>
              </w:rPr>
            </w:pPr>
          </w:p>
        </w:tc>
      </w:tr>
      <w:tr>
        <w:trPr>
          <w:trHeight w:val="189"/>
        </w:trPr>
        <w:tc>
          <w:tcPr>
            <w:tcW w:w="4120" w:type="dxa"/>
            <w:vAlign w:val="bottom"/>
          </w:tcPr>
          <w:p>
            <w:pPr>
              <w:ind w:left="140"/>
              <w:spacing w:after="0"/>
              <w:rPr>
                <w:sz w:val="20"/>
                <w:szCs w:val="20"/>
                <w:color w:val="auto"/>
              </w:rPr>
            </w:pPr>
            <w:r>
              <w:rPr>
                <w:rFonts w:ascii="Arial" w:cs="Arial" w:eastAsia="Arial" w:hAnsi="Arial"/>
                <w:sz w:val="14"/>
                <w:szCs w:val="14"/>
                <w:color w:val="auto"/>
              </w:rPr>
              <w:t>Diluted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8.08</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9.59</w:t>
            </w:r>
          </w:p>
        </w:tc>
        <w:tc>
          <w:tcPr>
            <w:tcW w:w="380" w:type="dxa"/>
            <w:vAlign w:val="bottom"/>
            <w:gridSpan w:val="3"/>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4.46</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2.32</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24.80</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Weighted-average shares used in calculating:</w:t>
            </w:r>
          </w:p>
        </w:tc>
        <w:tc>
          <w:tcPr>
            <w:tcW w:w="120" w:type="dxa"/>
            <w:vAlign w:val="bottom"/>
            <w:shd w:val="clear" w:color="auto" w:fill="DDDDDD"/>
          </w:tcPr>
          <w:p>
            <w:pPr>
              <w:spacing w:after="0"/>
              <w:rPr>
                <w:sz w:val="16"/>
                <w:szCs w:val="16"/>
                <w:color w:val="auto"/>
              </w:rPr>
            </w:pPr>
          </w:p>
        </w:tc>
        <w:tc>
          <w:tcPr>
            <w:tcW w:w="11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140"/>
              <w:spacing w:after="0"/>
              <w:rPr>
                <w:sz w:val="20"/>
                <w:szCs w:val="20"/>
                <w:color w:val="auto"/>
              </w:rPr>
            </w:pPr>
            <w:r>
              <w:rPr>
                <w:rFonts w:ascii="Arial" w:cs="Arial" w:eastAsia="Arial" w:hAnsi="Arial"/>
                <w:sz w:val="14"/>
                <w:szCs w:val="14"/>
                <w:color w:val="auto"/>
              </w:rPr>
              <w:t>Basic earnings per share attributable to Biogen Inc.</w:t>
            </w:r>
          </w:p>
        </w:tc>
        <w:tc>
          <w:tcPr>
            <w:tcW w:w="120" w:type="dxa"/>
            <w:vAlign w:val="bottom"/>
            <w:shd w:val="clear" w:color="auto" w:fill="DDDDDD"/>
          </w:tcPr>
          <w:p>
            <w:pPr>
              <w:spacing w:after="0"/>
              <w:rPr>
                <w:sz w:val="16"/>
                <w:szCs w:val="16"/>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172.8</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160.6</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156.9</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153.7</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160.9</w:t>
            </w:r>
          </w:p>
        </w:tc>
        <w:tc>
          <w:tcPr>
            <w:tcW w:w="0" w:type="dxa"/>
            <w:vAlign w:val="bottom"/>
          </w:tcPr>
          <w:p>
            <w:pPr>
              <w:spacing w:after="0"/>
              <w:rPr>
                <w:sz w:val="1"/>
                <w:szCs w:val="1"/>
                <w:color w:val="auto"/>
              </w:rPr>
            </w:pPr>
          </w:p>
        </w:tc>
      </w:tr>
      <w:tr>
        <w:trPr>
          <w:trHeight w:val="189"/>
        </w:trPr>
        <w:tc>
          <w:tcPr>
            <w:tcW w:w="4120" w:type="dxa"/>
            <w:vAlign w:val="bottom"/>
          </w:tcPr>
          <w:p>
            <w:pPr>
              <w:ind w:left="140"/>
              <w:spacing w:after="0"/>
              <w:rPr>
                <w:sz w:val="20"/>
                <w:szCs w:val="20"/>
                <w:color w:val="auto"/>
              </w:rPr>
            </w:pPr>
            <w:r>
              <w:rPr>
                <w:rFonts w:ascii="Arial" w:cs="Arial" w:eastAsia="Arial" w:hAnsi="Arial"/>
                <w:sz w:val="14"/>
                <w:szCs w:val="14"/>
                <w:color w:val="auto"/>
              </w:rPr>
              <w:t>Diluted earnings per share attributable to Biogen Inc.</w:t>
            </w:r>
          </w:p>
        </w:tc>
        <w:tc>
          <w:tcPr>
            <w:tcW w:w="120" w:type="dxa"/>
            <w:vAlign w:val="bottom"/>
            <w:shd w:val="clear" w:color="auto" w:fill="DDDDDD"/>
          </w:tcPr>
          <w:p>
            <w:pPr>
              <w:spacing w:after="0"/>
              <w:rPr>
                <w:sz w:val="16"/>
                <w:szCs w:val="16"/>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173.1</w:t>
            </w: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160.9</w:t>
            </w: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157.2</w:t>
            </w: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154.0</w:t>
            </w:r>
          </w:p>
        </w:tc>
        <w:tc>
          <w:tcPr>
            <w:tcW w:w="12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10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161.3</w:t>
            </w:r>
          </w:p>
        </w:tc>
        <w:tc>
          <w:tcPr>
            <w:tcW w:w="0" w:type="dxa"/>
            <w:vAlign w:val="bottom"/>
          </w:tcPr>
          <w:p>
            <w:pPr>
              <w:spacing w:after="0"/>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8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5"/>
                <w:szCs w:val="15"/>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Product revenues, net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2,680.0</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2,880.3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2,894.7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2,924.8</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11,379.8</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Revenues from anti-CD20 therapeutic programs</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517.4</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576.4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595.8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600.8</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2,290.4</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292.4</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145.7</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707.7</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3,489.8</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3,616.7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3,600.1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3,671.3</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14,377.9</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line="206" w:lineRule="exact"/>
              <w:rPr>
                <w:sz w:val="20"/>
                <w:szCs w:val="20"/>
                <w:color w:val="auto"/>
              </w:rPr>
            </w:pPr>
            <w:r>
              <w:rPr>
                <w:rFonts w:ascii="Arial" w:cs="Arial" w:eastAsia="Arial" w:hAnsi="Arial"/>
                <w:sz w:val="14"/>
                <w:szCs w:val="14"/>
                <w:color w:val="auto"/>
              </w:rPr>
              <w:t xml:space="preserve">Gross profit </w:t>
            </w:r>
            <w:r>
              <w:rPr>
                <w:rFonts w:ascii="Arial" w:cs="Arial" w:eastAsia="Arial" w:hAnsi="Arial"/>
                <w:sz w:val="18"/>
                <w:szCs w:val="18"/>
                <w:color w:val="auto"/>
                <w:vertAlign w:val="superscript"/>
              </w:rPr>
              <w:t>(1)</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2,887.8</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3,140.4</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3,170.1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3,224.2</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12,422.5</w:t>
            </w:r>
          </w:p>
        </w:tc>
        <w:tc>
          <w:tcPr>
            <w:tcW w:w="0" w:type="dxa"/>
            <w:vAlign w:val="bottom"/>
          </w:tcPr>
          <w:p>
            <w:pPr>
              <w:spacing w:after="0"/>
              <w:rPr>
                <w:sz w:val="1"/>
                <w:szCs w:val="1"/>
                <w:color w:val="auto"/>
              </w:rPr>
            </w:pPr>
          </w:p>
        </w:tc>
      </w:tr>
      <w:tr>
        <w:trPr>
          <w:trHeight w:val="172"/>
        </w:trPr>
        <w:tc>
          <w:tcPr>
            <w:tcW w:w="3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1,408.8</w:t>
            </w:r>
          </w:p>
        </w:tc>
        <w:tc>
          <w:tcPr>
            <w:tcW w:w="1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1,494.1</w:t>
            </w:r>
          </w:p>
        </w:tc>
        <w:tc>
          <w:tcPr>
            <w:tcW w:w="10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1,545.9</w:t>
            </w:r>
          </w:p>
        </w:tc>
        <w:tc>
          <w:tcPr>
            <w:tcW w:w="10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1,439.7</w:t>
            </w:r>
          </w:p>
        </w:tc>
        <w:tc>
          <w:tcPr>
            <w:tcW w:w="12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5,888.5</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Net income attributable to Biogen Inc.</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1,408.8</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1,494.1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1,545.9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1,439.7</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5,888.5</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40"/>
              <w:spacing w:after="0"/>
              <w:rPr>
                <w:sz w:val="20"/>
                <w:szCs w:val="20"/>
                <w:color w:val="auto"/>
              </w:rPr>
            </w:pPr>
            <w:r>
              <w:rPr>
                <w:rFonts w:ascii="Arial" w:cs="Arial" w:eastAsia="Arial" w:hAnsi="Arial"/>
                <w:sz w:val="14"/>
                <w:szCs w:val="14"/>
                <w:color w:val="auto"/>
              </w:rPr>
              <w:t>Basic earnings per share attributable to Biogen Inc.</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189"/>
        </w:trPr>
        <w:tc>
          <w:tcPr>
            <w:tcW w:w="3820" w:type="dxa"/>
            <w:vAlign w:val="bottom"/>
          </w:tcPr>
          <w:p>
            <w:pPr>
              <w:ind w:left="140"/>
              <w:spacing w:after="0"/>
              <w:rPr>
                <w:sz w:val="20"/>
                <w:szCs w:val="20"/>
                <w:color w:val="auto"/>
              </w:rPr>
            </w:pPr>
            <w:r>
              <w:rPr>
                <w:rFonts w:ascii="Arial" w:cs="Arial" w:eastAsia="Arial" w:hAnsi="Arial"/>
                <w:sz w:val="14"/>
                <w:szCs w:val="14"/>
                <w:color w:val="auto"/>
              </w:rPr>
              <w:t>Diluted earnings per share attributable to Biogen Inc.</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Weighted-average shares used in calculating:</w:t>
            </w: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40"/>
              <w:spacing w:after="0"/>
              <w:rPr>
                <w:sz w:val="20"/>
                <w:szCs w:val="20"/>
                <w:color w:val="auto"/>
              </w:rPr>
            </w:pPr>
            <w:r>
              <w:rPr>
                <w:rFonts w:ascii="Arial" w:cs="Arial" w:eastAsia="Arial" w:hAnsi="Arial"/>
                <w:sz w:val="14"/>
                <w:szCs w:val="14"/>
                <w:color w:val="auto"/>
              </w:rPr>
              <w:t>Basic earnings per share attributable to Biogen Inc.</w:t>
            </w: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89"/>
        </w:trPr>
        <w:tc>
          <w:tcPr>
            <w:tcW w:w="3820" w:type="dxa"/>
            <w:vAlign w:val="bottom"/>
          </w:tcPr>
          <w:p>
            <w:pPr>
              <w:ind w:left="140"/>
              <w:spacing w:after="0"/>
              <w:rPr>
                <w:sz w:val="20"/>
                <w:szCs w:val="20"/>
                <w:color w:val="auto"/>
              </w:rPr>
            </w:pPr>
            <w:r>
              <w:rPr>
                <w:rFonts w:ascii="Arial" w:cs="Arial" w:eastAsia="Arial" w:hAnsi="Arial"/>
                <w:sz w:val="14"/>
                <w:szCs w:val="14"/>
                <w:color w:val="auto"/>
              </w:rPr>
              <w:t>Diluted earnings per share attributable to Biogen Inc.</w:t>
            </w: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7774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1"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21"/>
          <w:szCs w:val="21"/>
          <w:color w:val="auto"/>
          <w:vertAlign w:val="superscript"/>
        </w:rPr>
      </w:pPr>
      <w:r>
        <w:rPr>
          <w:rFonts w:ascii="Arial" w:cs="Arial" w:eastAsia="Arial" w:hAnsi="Arial"/>
          <w:sz w:val="16"/>
          <w:szCs w:val="16"/>
          <w:color w:val="auto"/>
        </w:rPr>
        <w:t>Gross profit is calculated as total revenues less cost of sales, excluding amortization and impairment of acquired intangible assets.</w:t>
      </w:r>
    </w:p>
    <w:p>
      <w:pPr>
        <w:spacing w:after="0" w:line="200" w:lineRule="exact"/>
        <w:rPr>
          <w:rFonts w:ascii="Arial" w:cs="Arial" w:eastAsia="Arial" w:hAnsi="Arial"/>
          <w:sz w:val="21"/>
          <w:szCs w:val="21"/>
          <w:color w:val="auto"/>
          <w:vertAlign w:val="superscript"/>
        </w:rPr>
      </w:pPr>
    </w:p>
    <w:p>
      <w:pPr>
        <w:spacing w:after="0" w:line="385" w:lineRule="exact"/>
        <w:rPr>
          <w:rFonts w:ascii="Arial" w:cs="Arial" w:eastAsia="Arial" w:hAnsi="Arial"/>
          <w:sz w:val="21"/>
          <w:szCs w:val="21"/>
          <w:color w:val="auto"/>
          <w:vertAlign w:val="superscript"/>
        </w:rPr>
      </w:pPr>
    </w:p>
    <w:p>
      <w:pPr>
        <w:ind w:left="5440"/>
        <w:spacing w:after="0"/>
        <w:rPr>
          <w:rFonts w:ascii="Arial" w:cs="Arial" w:eastAsia="Arial" w:hAnsi="Arial"/>
          <w:sz w:val="21"/>
          <w:szCs w:val="21"/>
          <w:color w:val="auto"/>
          <w:vertAlign w:val="superscript"/>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72" w:name="page173"/>
    <w:bookmarkEnd w:id="1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REPORT OF INDEPENDENT REGISTERED PUBLIC ACCOUNTING FIRM</w:t>
      </w:r>
    </w:p>
    <w:p>
      <w:pPr>
        <w:spacing w:after="0" w:line="260"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578196"/>
        </w:rPr>
        <w:t>To the Board of Directors and Shareholders of Biogen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audited the accompanying consolidated balance sheets of Biogen Inc. and its subsidiaries (the “Company”) as of December 31, 2020 and 2019, and the related consolidated statements of income, comprehensive income,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3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Accounting Principles</w:t>
      </w:r>
    </w:p>
    <w:p>
      <w:pPr>
        <w:spacing w:after="0" w:line="15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 and the manner in which it accounts for income taxes for intra-entity transfers of assets other than inventory in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73" w:name="page174"/>
    <w:bookmarkEnd w:id="1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Reserves for Medicaid and Managed Care Rebates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described in Notes 1 and 4 to the consolidated financial statements, the Company recognized revenue from product sales net of reserves, including Medicaid and managed care rebates. Within Accrued expenses and other, total contractual adjustments amounted to $1,093.0 million as of December 31, 2020. This balance primarily includes provisions for Medicaid and managed care rebates in the US. Medicaid rebates relate to the Company’s estimated obligations to states under established reimbursement arrangements. The Company’s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 Managed care rebates represent the Company’s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formulary position and price increase limit allowances (price protection). The calculation of the accrual for these rebates is based on an estimate of the customer’s buying coverage patterns and the resulting applicable contractual rebate rate(s) to be earned over a contractual period. As disclosed by management, the Medicaid and managed care estimates reflect historical experience, current contractual and statutory requirements, specific known market events and trends, industry data and forecasted customer buying and payment patterns.</w:t>
      </w:r>
    </w:p>
    <w:p>
      <w:pPr>
        <w:spacing w:after="0" w:line="16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reserves for Medicaid and managed care rebates is a critical audit matter are the significant judgment by management due to the significant measurement uncertainty involved in developing these reserves, as the reserves are based on assumptions developed using historical experience, current contractual requirements, specific known market events and payment patterns, which in turn led to a high degree of auditor judgment, subjectivity and effort in applying procedures related to these assumptions.</w:t>
      </w:r>
    </w:p>
    <w:p>
      <w:pPr>
        <w:spacing w:after="0" w:line="14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reserves for Medicaid and managed care rebates, including controls over the assumptions used to estimate these rebate reserves. These procedures also included, among others, (i) developing an independent estimate of the rebate reserves by utilizing third-party data related to product demand, data related to price changes, the terms of the specific rebate programs, the historical trend of actual rebate claims paid and consideration of contractual requirement changes and market events; (ii) comparing the independent estimate to management’s estimate, and (iii) testing rebate claims paid by the Company, including evaluating the claims for consistency with the contractual terms of the Company’s rebate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44"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u w:val="single" w:color="auto"/>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176"/>
        <w:spacing w:after="0" w:line="263" w:lineRule="auto"/>
        <w:rPr>
          <w:sz w:val="20"/>
          <w:szCs w:val="20"/>
          <w:color w:val="auto"/>
        </w:rPr>
      </w:pPr>
      <w:r>
        <w:rPr>
          <w:rFonts w:ascii="Arial" w:cs="Arial" w:eastAsia="Arial" w:hAnsi="Arial"/>
          <w:sz w:val="18"/>
          <w:szCs w:val="18"/>
          <w:color w:val="auto"/>
        </w:rPr>
        <w:t>As of December 31, 2020, Biogen Inc. (the “Company”) has six classes of securities registered under Section 12 of the Securities Exchange Act of 1934, as amended (the “Exchange Act”): (1) Common Stock; (2) 3.625% Senior Notes due 2022; (3) 4.050% Senior Notes due 2025; (4) 2.250% Senior Notes due 2030; (5) 5.200% Senior Notes due 2045 and (6) 3.150%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69862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as amended (the “Certificate of Incorporation”), and our Fourth Amended and Restated Bylaws (the “Bylaws”), each of which are incorporated by reference as an exhibit to the Annual Report on Form 10-K of which this Exhibit 4.4 is a part. We encourage you to read our Certificate of Incorporation, our Bylaws and the applicable provisions of the General Corporation Law of Delaware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1,000,000,000 shares of Common Stock, par value $0.0005 per share, and 8,000,000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rights of holders of all classes of stock at the time outstanding having prior rights as to dividends, if any, the holders of Common Stock are entitled to receive dividends, if any, as may be declared from time to time by the Board of Directors in its discretion out of funds legally available for the payment of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any preferential rights of outstanding shares of Preferred Stock, if any, holders of Common Stock will share ratably in all assets legally available for distribution to our stockholders in the event of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Holders of Common Stock may act by unanimous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Nasdaq Stock Market LLC under the trading symbol “BIIB.”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Description of Notes Due 2022, 2025 and 2045</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description of our 3.625% Senior Notes due 2022 (the “notes due 2022”), the 4.050% Senior Notes due 2025 (the “notes due 2025”) and the 5.200% Senior Notes due 2045 (the “notes due 2045” and together with the notes due 2020, the notes due 2022 and the notes due 2025, the “notes”), is a summary and does not purport to be complete. It is subject to and qualified in its entirety by reference to the indenture, dated as of September 15, 2015 (the “Base Indenture”), between Biogen Inc. and U.S. Bank National Association, as trustee, as supplemented by the first supplemental indenture dated as of September 15, 2015 (the Base Indenture, as supplemented by the fist supplemental indentures, the “Indenture”), which are incorporated by reference as exhibits to the Annual Report on Form 10-K of which this Exhibit 4.4 is a part.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Biogen Inc. and not to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right="2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notes due 2022 were initially limited to $1,000,000,000 aggregate principal amount. The maturity date of the notes due 2022 is September 15, 2022.</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notes due 2025 were initially limited to $1,750,000,000 aggregate principal amount. The maturity date of the notes due 2025 is September 15, 2025.</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notes due 2045 were initially limited to $1,750,000,000 aggregate principal amount. The maturity date of the notes due 2045 is September 15, 2045.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and the notes of such series will generally constitute a single series under the Indenture, provided that if the additional notes are not fungible with the notes of such series for U.S. federal income tax purposes, the additional notes will have a separate CUSIP number.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Principal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due 2022 bear interest at a fixed interest rate of 3.625%. The notes due 2025 bear interest at a fixed interest rate of 4.050%. The notes due 2045 bear interest at a fixed interest rate of 5.200%. Interest on the notes is payable semiannually on March 15 and September 15 of each year to holders of record at the close of business on the March 1 or September 1, whether or not a business day, immediately before the applicable interest payment date. The amount of interest payable on the notes is computed on the basis of a 360-day year consisting of twelve 30-day months.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notes were issued only in fully registered form, without coupons, in denominations of $2,000 and integral multiples of $1,000 in excess thereof.</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76" w:name="page177"/>
    <w:bookmarkEnd w:id="176"/>
    <w:p>
      <w:pPr>
        <w:jc w:val="both"/>
        <w:spacing w:after="0" w:line="277" w:lineRule="auto"/>
        <w:rPr>
          <w:sz w:val="20"/>
          <w:szCs w:val="20"/>
          <w:color w:val="auto"/>
        </w:rPr>
      </w:pPr>
      <w:r>
        <w:rPr>
          <w:rFonts w:ascii="Arial" w:cs="Arial" w:eastAsia="Arial" w:hAnsi="Arial"/>
          <w:sz w:val="18"/>
          <w:szCs w:val="18"/>
          <w:color w:val="auto"/>
        </w:rPr>
        <w:t>The notes are senior unsecured obligations and rank equal in right of payment with our other existing and future senior unsecured obligations, and senior in right of payment to any of our future subordinated indebtedness.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notes are effectively subordinated to any secured obligations of ours to the extent of the value of the assets securing such obligations. The notes are structurally subordinated to all existing and future obligations of our subsidiaries, including claims with respect to trade payables. This means that holders of the notes have a junior position to the claims of creditors of our direct and indirect subsidiaries on the assets and earnings of such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2022</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any time and from time to time, the notes due 2022 are redeemable, as a whole or in part, at our option, on at least 30 days, but not more than 60 days, prior notice mailed to the registered address of each holder of the notes due 2022, at a redemption price equal to the greater of:</w:t>
      </w:r>
    </w:p>
    <w:p>
      <w:pPr>
        <w:spacing w:after="0" w:line="146"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100% of principal amount of the notes due 2022 to be redeemed,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plus 25 basis points,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and from time to time prior to June 15, 2025 (the date that is three months prior to maturity), the notes due 2025 are redeemable, as a whole or in part, at our option, on at least 30 days, but not more than 60 days, prior notice mailed to the registered address of each holder of the notes due 2025, at a redemption price equal to the greater of:</w:t>
      </w:r>
    </w:p>
    <w:p>
      <w:pPr>
        <w:spacing w:after="0" w:line="184"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100% of principal amount of the notes due 2025 to be redeemed,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plus 30 basis points,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June 15, 2025 (the date that is three months before maturity), the notes due 2025 may be redeemed, as a whole or in part, at our option, on at least 30 days, but not more than 60 days, prior notice mailed to the registered address of each holder of the notes due 2025, at a redemption price equal to 100% of the principal amount of the notes due 2025 to be redeemed on the redemption date plus accrued and unpaid interest to, but not including, the date of redemption.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2045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and from time to time prior to March 15, 2045 (the date that is six months prior to maturity), the notes due 2045 are redeemable, as a whole or in part, at our option, on at least 30 days, but not more than 60 days, prior notice mailed to the registered address of each holder of the notes due 2045, at a redemption price equal to the greater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77" w:name="page178"/>
    <w:bookmarkEnd w:id="177"/>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100% of principal amount of the notes due 2045 to be redeemed,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plus 35 basis points,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March 15, 2045 (the date that is six months before maturity), the notes due 2045 may be redeemed, as a whole or in part, at our option, on at least 30 days, but not more than 60 days, prior notice mailed to the registered address of each holder of the notes due 2045, at a redemption price equal to 100% of the principal amount of the notes due 2045 to be redeemed on the redemption date plus accrued and unpaid interest to, but not including, the date of redemption.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defined below) as having an actual or interpolated maturity comparable to the remaining term of the notes of the applicable series to be redeemed that would be utilized, at the time of selection and in accordance with customary financial practice, in pricing new issues of corporate debt securities of a comparable maturity to the remaining term of such notes.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“Reference Treasury Dealer” means each of Goldman, Sachs &amp; Co. and Merrill Lynch, Pierce, Fenner &amp; Smith Incorporated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(as defined below) in accordance with its standard procedures. If the notes to be redeemed are not global notes then held by DTC, or DTC prescribes no method of selection, the trustee will select the notes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78" w:name="page179"/>
    <w:bookmarkEnd w:id="178"/>
    <w:p>
      <w:pPr>
        <w:jc w:val="both"/>
        <w:spacing w:after="0" w:line="277" w:lineRule="auto"/>
        <w:rPr>
          <w:sz w:val="20"/>
          <w:szCs w:val="20"/>
          <w:color w:val="auto"/>
        </w:rPr>
      </w:pPr>
      <w:r>
        <w:rPr>
          <w:rFonts w:ascii="Arial" w:cs="Arial" w:eastAsia="Arial" w:hAnsi="Arial"/>
          <w:sz w:val="18"/>
          <w:szCs w:val="18"/>
          <w:color w:val="auto"/>
        </w:rPr>
        <w:t>redeemed on a pro rata basis, by lot, or by any other method the trustee deems fair and appropriate and subject to and otherwise in accordance with the procedures of DTC.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 Change of Control Triggering Event (as defined below) occurs with respect to the notes of a series, unless we have exercised our option to redeem the notes of such series as described above, we will be required to make an offer (the “Change of Control Offer”) to each holder of the notes of such series to repurchase all or any part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(as defined below), but after public announcement of the transaction that constitutes or may constitute the Change of Control, a notice will be mailed to holders of the notes of the applicable series describing the transaction that constitutes or may constitute the Change of Control Triggering Event and offering to repurchase the notes of such series on the date specified in the notice, which date will be no earlier than 30 days and no later than 60 days from the date such notice is mailed or, if the notice is mailed prior to the Change of Control, no earlier than 30 days and no later than 60 days from the date on which the Change of Control Triggering Event occurs (the “Change of Control Payment Date”). The notice will, if mailed prior to the date of consummation of the Change of Control, state that the offer to purchase is conditioned on the Change of Control Triggering Event occurring on or prior to the Change of Control Payment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25"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(as defined below)) becomes the beneficial owner (as defined in Rules 13d-3 and 13d-5 under the Exchange Act), directly or indirectly, of more than 50% of our Voting Stock (as defined below) or other Voting Stock into which our Voting Stock is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79" w:name="page180"/>
    <w:bookmarkEnd w:id="179"/>
    <w:p>
      <w:pPr>
        <w:jc w:val="both"/>
        <w:spacing w:after="0" w:line="286" w:lineRule="auto"/>
        <w:rPr>
          <w:sz w:val="20"/>
          <w:szCs w:val="20"/>
          <w:color w:val="auto"/>
        </w:rPr>
      </w:pPr>
      <w:r>
        <w:rPr>
          <w:rFonts w:ascii="Arial" w:cs="Arial" w:eastAsia="Arial" w:hAnsi="Arial"/>
          <w:sz w:val="16"/>
          <w:szCs w:val="16"/>
          <w:color w:val="auto"/>
        </w:rPr>
        <w:t>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and the equivalent investment grade credit rating from any additional rating agency or Rating Agencies (as defined below) selected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“Rating Agencies” means (1) each of Moody’s and S&amp;P and (2) if any of Moody’s and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and which is reasonably acceptable to the trustee as a replacement agency for Moody’s or S&amp;P, or both of them, as the case may be.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“Rating Event” means (A) with respect to the notes due 2020, the rating on such notes is lowered by each of the Rating Agencies and such notes are rated below an Investment Grade Rating by each of the Rating Agencies, (B) with respect to the notes due 2022, the rating on such notes is lowered by each of the Rating Agencies and such notes are rated below an Investment Grade Rating by each of the Rating Agencies, (C) with respect to the notes due 2025, the rating on such notes is lowered by each of the Rating Agencies and such notes are rated below an Investment Grade Rating by each of the Rating Agencies and (D) with respect to the notes due 2045, the rating on such notes is lowered by each of the Rating Agencies and such notes are rated below an Investment Grade Rating by each of the Rating Agencies, in each case,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0" w:name="page181"/>
    <w:bookmarkEnd w:id="180"/>
    <w:p>
      <w:pPr>
        <w:jc w:val="both"/>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not be entitled to the benefit of any sinking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provided under “—Exempted Liens and Sale and Leaseback Transactions,” we will not, and will not permit any Subsidiary of ours to, create or assume any Indebtedness (as defined below) secured by any Lien (as defined below) on any of our or their respective Properties (as defined below) unless the notes are secured by such Lien equally and ratably with, or prior to, the Indebtedness secured by such Lien. This restriction does not apply to Indebtedness that is secured by:</w:t>
      </w:r>
    </w:p>
    <w:p>
      <w:pPr>
        <w:spacing w:after="0" w:line="187"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Liens in favor of the U.S. or any state thereof, or any instrumentality of either, to secure certain payments pursuant to any contract or statute;</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1" w:name="page182"/>
    <w:bookmarkEnd w:id="181"/>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on the assets of a special purpose Subsidiary resulting from securitization transactions with respect to accounts receivable, royalties and similar assets included in such securitization transactions;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on key-man life insurance policies granted to secure our Indebtedness against the cash surrender value thereof;</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Liens encumbering customary initial deposits and margin deposits and other Liens in the ordinary course of business, in each case securing Hedging Obligations (as defined below) and forward contract, option, futures contracts, futures options or similar agreements or arrangements designed to protect us or any of our Subsidiaries from fluctuations in interest rates, currencies or the price of commodities;</w:t>
      </w:r>
    </w:p>
    <w:p>
      <w:pPr>
        <w:spacing w:after="0" w:line="16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as provided under “—Exempted Liens and Sale and Leaseback Transactions,” we will not, and will not permit any of our Subsidiaries to, enter into any Sale and Leaseback Transaction (as defined below) with respect to any of our or their respective Properties, the acquisition or completion of construction and commencement of full operations of which has occurred more than 270 days prior thereto, unless:</w:t>
      </w:r>
    </w:p>
    <w:p>
      <w:pPr>
        <w:spacing w:after="0" w:line="165"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2" w:name="page183"/>
    <w:bookmarkEnd w:id="182"/>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retirement of the notes or debt of ours ranking equally with the notes or to the retirement of any debt of a Subsidiary of ours, or</w:t>
      </w:r>
    </w:p>
    <w:p>
      <w:pPr>
        <w:spacing w:after="0" w:line="23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acquisition of different property, facilities or equipment or the expansion of our existing business, including the acquisition of 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10% of Consolidated Total Assets (as defined below):</w:t>
      </w:r>
    </w:p>
    <w:p>
      <w:pPr>
        <w:spacing w:after="0" w:line="184" w:lineRule="exact"/>
        <w:rPr>
          <w:sz w:val="20"/>
          <w:szCs w:val="20"/>
          <w:color w:val="auto"/>
        </w:rPr>
      </w:pPr>
    </w:p>
    <w:p>
      <w:pPr>
        <w:ind w:left="660" w:hanging="328"/>
        <w:spacing w:after="0" w:line="277"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170" w:lineRule="exact"/>
        <w:rPr>
          <w:sz w:val="20"/>
          <w:szCs w:val="20"/>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we must deliver specific certification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225"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3" w:name="page184"/>
    <w:bookmarkEnd w:id="183"/>
    <w:p>
      <w:pPr>
        <w:jc w:val="both"/>
        <w:ind w:left="660" w:hanging="328"/>
        <w:spacing w:after="0" w:line="263"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 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of the holders unless the holders offer the trustee indemnity 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170"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or security satisfactory to it against the cost and other liabilities of taking that action;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issues a ruling or there is a change in applicable U.S. federal tax law, as described below, we can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ourselves from any payment or other obligations on the notes, called “full defeasance,” if we put in place the following other arrangements for you to be repaid:</w:t>
      </w:r>
    </w:p>
    <w:p>
      <w:pPr>
        <w:spacing w:after="0" w:line="184" w:lineRule="exact"/>
        <w:rPr>
          <w:sz w:val="20"/>
          <w:szCs w:val="20"/>
          <w:color w:val="auto"/>
        </w:rPr>
      </w:pPr>
    </w:p>
    <w:p>
      <w:pPr>
        <w:jc w:val="both"/>
        <w:ind w:left="660" w:right="20" w:hanging="328"/>
        <w:spacing w:after="0" w:line="263" w:lineRule="auto"/>
        <w:tabs>
          <w:tab w:leader="none" w:pos="6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18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You could not look to us for repayment in the unlikely event of any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Conversely, the trust deposit would most likely be protected from claims of our lenders and other creditors if we ever become bankrupt or insolvent.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Covenant Defeasance. </w:t>
      </w:r>
      <w:r>
        <w:rPr>
          <w:rFonts w:ascii="Arial" w:cs="Arial" w:eastAsia="Arial" w:hAnsi="Arial"/>
          <w:sz w:val="17"/>
          <w:szCs w:val="17"/>
          <w:color w:val="auto"/>
        </w:rPr>
        <w:t>We can be released from the restrictive covenants in the notes if we make the arrangements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This is called</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In that event, the registered holders of the notes would lose the protection of those restrictive covenants but would gain the protection of having money and securities set aside in trust to repay the notes</w:t>
      </w:r>
      <w:r>
        <w:rPr>
          <w:rFonts w:ascii="Arial" w:cs="Arial" w:eastAsia="Arial" w:hAnsi="Arial"/>
          <w:sz w:val="17"/>
          <w:szCs w:val="17"/>
          <w:i w:val="1"/>
          <w:iCs w:val="1"/>
          <w:color w:val="auto"/>
        </w:rPr>
        <w:t>.</w:t>
      </w:r>
      <w:r>
        <w:rPr>
          <w:rFonts w:ascii="Arial" w:cs="Arial" w:eastAsia="Arial" w:hAnsi="Arial"/>
          <w:sz w:val="17"/>
          <w:szCs w:val="17"/>
          <w:color w:val="auto"/>
        </w:rPr>
        <w:t xml:space="preserve"> In order to achieve covenant defeasance, we must do the following:</w:t>
      </w:r>
    </w:p>
    <w:p>
      <w:pPr>
        <w:spacing w:after="0" w:line="165" w:lineRule="exact"/>
        <w:rPr>
          <w:sz w:val="20"/>
          <w:szCs w:val="20"/>
          <w:color w:val="auto"/>
        </w:rPr>
      </w:pPr>
    </w:p>
    <w:p>
      <w:pPr>
        <w:jc w:val="both"/>
        <w:ind w:left="660" w:right="20" w:hanging="328"/>
        <w:spacing w:after="0" w:line="263"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the registered holders of the notes will not recognize income, gain or loss for U.S. federal income tax purposes as a result of the covenant defeasance and that the registered holders of the notes will not be taxed on the notes any differently than if the covenant defeasance had not occurred.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we accomplish covenant defeasance, the following provisions of the Indenture and the notes would no longer apply unless otherwise specified:</w:t>
      </w:r>
    </w:p>
    <w:p>
      <w:pPr>
        <w:spacing w:after="0" w:line="237"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our promises regarding conduct of our business and other matters and any other covenants applicable to the series of notes;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w:t>
      </w:r>
      <w:r>
        <w:rPr>
          <w:rFonts w:ascii="Arial" w:cs="Arial" w:eastAsia="Arial" w:hAnsi="Arial"/>
          <w:sz w:val="18"/>
          <w:szCs w:val="18"/>
          <w:i w:val="1"/>
          <w:iCs w:val="1"/>
          <w:color w:val="auto"/>
        </w:rPr>
        <w:t>.</w:t>
      </w:r>
      <w:r>
        <w:rPr>
          <w:rFonts w:ascii="Arial" w:cs="Arial" w:eastAsia="Arial" w:hAnsi="Arial"/>
          <w:sz w:val="18"/>
          <w:szCs w:val="18"/>
          <w:color w:val="auto"/>
        </w:rPr>
        <w:t xml:space="preserve"> In fact, if one of the remaining events of default occurred (such as our bankruptcy) and the notes become immediately due and payable, there may be such a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Depending on the event causing the default, of course, you may not be able to obtain payment of the shortfall.</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deposit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85" w:name="page186"/>
    <w:bookmarkEnd w:id="185"/>
    <w:p>
      <w:pPr>
        <w:jc w:val="both"/>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184"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modification and waiver except to increase the voting requirements.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170" w:lineRule="exact"/>
        <w:rPr>
          <w:sz w:val="20"/>
          <w:szCs w:val="20"/>
          <w:color w:val="auto"/>
        </w:rPr>
      </w:pPr>
    </w:p>
    <w:p>
      <w:pPr>
        <w:ind w:left="66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comply with the requirements of the U.S. Securities and Exchange Commission (“SEC”) in order to maintain the qualification of the Indenture under the Trust Indenture Act of 1939;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425387_1</w:t>
      </w:r>
    </w:p>
    <w:p>
      <w:pPr>
        <w:sectPr>
          <w:pgSz w:w="11900" w:h="16838" w:orient="portrait"/>
          <w:cols w:equalWidth="0" w:num="1">
            <w:col w:w="11240"/>
          </w:cols>
          <w:pgMar w:left="320" w:top="1421" w:right="339" w:bottom="1440" w:gutter="0" w:footer="0" w:header="0"/>
          <w:type w:val="continuous"/>
        </w:sectPr>
      </w:pPr>
    </w:p>
    <w:bookmarkStart w:id="186" w:name="page187"/>
    <w:bookmarkEnd w:id="186"/>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conform the Indenture or the notes to the description thereof set forth in the prospectus supplement and in the accompanying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170" w:lineRule="exact"/>
        <w:rPr>
          <w:sz w:val="20"/>
          <w:szCs w:val="20"/>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opinion of counsel, each stating that we have complied with all these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trustee is U.S. Bank National Association. U.S. Bank National Association is also the initial paying agent and registrar for the notes.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provides that, except during the continuance of an event of default under the Indenture, the trustee under the Indenture will perform only such duties as are specifically set forth in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w:t>
      </w:r>
      <w:r>
        <w:rPr>
          <w:rFonts w:ascii="Arial" w:cs="Arial" w:eastAsia="Arial" w:hAnsi="Arial"/>
          <w:sz w:val="18"/>
          <w:szCs w:val="18"/>
          <w:i w:val="1"/>
          <w:iCs w:val="1"/>
          <w:color w:val="auto"/>
        </w:rPr>
        <w:t>.</w:t>
      </w:r>
      <w:r>
        <w:rPr>
          <w:rFonts w:ascii="Arial" w:cs="Arial" w:eastAsia="Arial" w:hAnsi="Arial"/>
          <w:sz w:val="18"/>
          <w:szCs w:val="18"/>
          <w:color w:val="auto"/>
        </w:rPr>
        <w:t xml:space="preserve">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under the Indenture is permitted to engage in other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if the trustee under the Indenture acquires any prohibited conflicting interest, it must eliminate the conflict or resign.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“Capitalized Lease” means any obligation of a Person to pay rent or other amounts incurred with respect to real property or equipment acquired or leased by such Person and used in its business that is required to be recorded as a capital lease in accordance with generally accepted accounting principles.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left="660" w:hanging="328"/>
        <w:spacing w:after="0" w:line="277" w:lineRule="auto"/>
        <w:tabs>
          <w:tab w:leader="none" w:pos="65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other agreements or arrangements designed to protect such Person against fluctuations in currency exchange rates or commodity prices.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Capitalized Leases;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“Indebtedness” of such Person shall not include any obligation of such Person to any Subsidiary of such Person or to any Person with respect to which such Person is a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means any property or asset, whether real, personal or mixed or tangible or intangible.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of each series is represented by one or more fully registered global notes, without interest coupons, was deposited upon issuance with the trustee as custodian for The Depository Trust Company (“DTC”), and registered in the name of Cede &amp; Co. or its nominee, in each case, for credit to an account of a direct or indirect participant as described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limited circumstances.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notes may be presented for registration of transfer and exchange at the offices of the trustee as set forth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interests in the global notes will be subject to the operations and procedures of DTC, Euroclear Bank, S.A./N.V. and Clearstream Luxembourg, </w:t>
      </w:r>
      <w:r>
        <w:rPr>
          <w:rFonts w:ascii="Arial" w:cs="Arial" w:eastAsia="Arial" w:hAnsi="Arial"/>
          <w:sz w:val="18"/>
          <w:szCs w:val="18"/>
          <w:i w:val="1"/>
          <w:iCs w:val="1"/>
          <w:color w:val="auto"/>
        </w:rPr>
        <w:t>société</w:t>
      </w:r>
      <w:r>
        <w:rPr>
          <w:rFonts w:ascii="Arial" w:cs="Arial" w:eastAsia="Arial" w:hAnsi="Arial"/>
          <w:sz w:val="18"/>
          <w:szCs w:val="18"/>
          <w:color w:val="auto"/>
        </w:rPr>
        <w:t xml:space="preserve"> </w:t>
      </w:r>
      <w:r>
        <w:rPr>
          <w:rFonts w:ascii="Arial" w:cs="Arial" w:eastAsia="Arial" w:hAnsi="Arial"/>
          <w:sz w:val="18"/>
          <w:szCs w:val="18"/>
          <w:i w:val="1"/>
          <w:iCs w:val="1"/>
          <w:color w:val="auto"/>
        </w:rPr>
        <w:t>anonyme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Description of Notes Due 2030 and 2050</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of our 2.250% Senior Notes due 2030 (the “notes due 2030”) and the 3.150% Senior Notes due 2050 (the “notes due 2050” and, together with the notes due 2030, the “notes”), is a summary and does not purport to be complete. It is subject to and qualified in its entirety by reference to the indenture dated as of September 15, 2015, between Biogen Inc. and U.S. Bank National Association, as trustee, as supplemented by a supplemental indenture, dated as of April 30, 2020, between Biogen Inc. and the trustee, as the “indenture.” The terms of the notes include those stated in the indenture and those made part of the indenture by reference to the Trust Indenture Act of 1939. A copy of the indenture is available for inspection at the office of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Biogen Inc. and not to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notes due 2030 were initially limited to $1,500,000,000 aggregate principal amount. The maturity date of the notes due 2030 is May 1, 2030.</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notes due 2050 were initially limited to $1,500,000,000 aggregate principal amount. The maturity date of the notes due 2050 is May 1, 2050.</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having such similar terms, together with that series of notes, could be considered part of the same series of notes under the indenture; provided that if the additional notes are not fungible with the notes of such series for U.S. federal income tax purposes, the additional notes will have a separate CUSIP number.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Principal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due 2030 bear interest at a fixed rate of 2.250%. The notes due 2050 bear interest at a fixed interest rate of 3.150%. Interest will be payable semiannually on November 1 and May 1 of each year, beginning November 1, 2020. Interest on the notes is paid to holders of record at the close of business on the October 15 or April 15, whether or not a business day, immediately before the applicable interest payment date. The amount of interest payable on the notes is computed on the basis of a 360-day year consisting of twelve 30-day months.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notes were issued only in fully registered form, without coupons, in denominations of $2,000 and integral multiples of $1,000 in excess thereof.</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are senior unsecured obligations and rank equal in right of payment with our other existing and future senior unsecured obligations and senior in right of payment to any of our future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90" w:name="page191"/>
    <w:bookmarkEnd w:id="190"/>
    <w:p>
      <w:pPr>
        <w:jc w:val="both"/>
        <w:ind w:right="20"/>
        <w:spacing w:after="0" w:line="277" w:lineRule="auto"/>
        <w:rPr>
          <w:sz w:val="20"/>
          <w:szCs w:val="20"/>
          <w:color w:val="auto"/>
        </w:rPr>
      </w:pPr>
      <w:r>
        <w:rPr>
          <w:rFonts w:ascii="Arial" w:cs="Arial" w:eastAsia="Arial" w:hAnsi="Arial"/>
          <w:sz w:val="18"/>
          <w:szCs w:val="18"/>
          <w:color w:val="auto"/>
        </w:rPr>
        <w:t>The notes are effectively subordinated to all of our existing and future secured indebtedness and other secured liabilities to the extent of the value of the assets securing such indebtedness and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are structurally subordinated to all existing and future obligations of our subsidiaries, including claims with respect to trade payables. This means that holders of the notes have a junior position to the claims of creditors of our direct and indirect subsidiaries on the assets and earnings of such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prior to the Par Call Date (as defined below) for the notes due 2030, and from time to time, the notes due 2030 are redeemable as a whole or in part, at our option, on at least 10 days, but not more than 60 days, prior notice mailed to the registered address of each holder of the notes due 2030 at a redemption price equal to the greater of:</w:t>
      </w:r>
    </w:p>
    <w:p>
      <w:pPr>
        <w:spacing w:after="0" w:line="184"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100% of principal amount of the notes due 2030 to be redeemed, or</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(through the Par Call Date for the notes due 2030 assuming for such purpose that such notes matured on the Par Call Date for the notes due 2030) of interest and principal thereon (exclusive of interest accrued and unpaid to, but not including, the date of redemption) discounted to the date of redemption on a semiannual basis, assuming a 360-day year consisting of twelve 30-day months, at the Treasury Rate (as defined below) plus 25 basis points, in the case of notes due 2030.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the Par Call Date for the notes due 2030, the notes due 2030 may be redeemed, as a whole or in part, at our option, on at least 10 days, but not more than 60 days, prior notice mailed to the registered address of each holder of the notes to be redeemed (or otherwise delivered in accordance with the applicable procedures of DTC), at a redemption price equal to 100% of the principal amount of the notes to be redeemed on the redemption date plus accrued and unpaid interest to, but not including, the date of redemption.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2050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prior to the Par Call Date for the notes due 2050, and from time to time, the notes due 2050 are redeemable as a whole or in part, at our option, on at least 10 days, but not more than 60 days, prior notice mailed to the registered address of each holder of the notes due 2050 at a redemption price equal to the greater of:</w:t>
      </w:r>
    </w:p>
    <w:p>
      <w:pPr>
        <w:spacing w:after="0" w:line="184"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100% of principal amount of the notes due 2050 to be redeemed, or</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(through the Par Call Date for the notes due 2050 assuming for such purpose that such notes matured on the Par Call Date for the notes due 2050) of interest and principal thereon (exclusive of interest accrued and unpaid to, but not including, the date of redemption) discounted to the date of redemption on a semiannual basis, assuming a 360-day year consisting of twelve 30-day months, at the Treasury Rate (as defined below) plus 30 basis points, in the case of notes due 2050.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defined below) as having an actual or interpolated maturity comparable to the remaining term of the notes of the applicable series (“Remaining Life”) to be redeemed that would be utilized, at the time of selection and in accordance with customary financial practice, in pricing new issues of corporate debt securities of a comparable maturity to the remaining term of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1" w:name="page192"/>
    <w:bookmarkEnd w:id="191"/>
    <w:p>
      <w:pPr>
        <w:jc w:val="both"/>
        <w:spacing w:after="0" w:line="286" w:lineRule="auto"/>
        <w:rPr>
          <w:sz w:val="20"/>
          <w:szCs w:val="20"/>
          <w:color w:val="auto"/>
        </w:rPr>
      </w:pPr>
      <w:r>
        <w:rPr>
          <w:rFonts w:ascii="Arial" w:cs="Arial" w:eastAsia="Arial" w:hAnsi="Arial"/>
          <w:sz w:val="17"/>
          <w:szCs w:val="17"/>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 Call Date” means:</w:t>
      </w:r>
    </w:p>
    <w:p>
      <w:pPr>
        <w:spacing w:after="0" w:line="239"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 respect to the notes due 2030, February 1, 2030 (three months prior to the maturity date of the notes due 2030);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 respect to the notes due 2050, November 1, 2049 (six months prior to the maturity date of the notes due 2050).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 Treasury Dealer” means each of Goldman Sachs &amp; Co. LLC, BofA Securities, Inc. and J.P. Morgan Securities LLC,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“Treasury Rate” means, with respect to any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provided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our discretion, be subject to one or more conditions precedent, and, at our discretion, the redemption date may be delayed until such time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2" w:name="page193"/>
    <w:bookmarkEnd w:id="192"/>
    <w:p>
      <w:pPr>
        <w:jc w:val="both"/>
        <w:spacing w:after="0" w:line="263" w:lineRule="auto"/>
        <w:rPr>
          <w:sz w:val="20"/>
          <w:szCs w:val="20"/>
          <w:color w:val="auto"/>
        </w:rPr>
      </w:pPr>
      <w:r>
        <w:rPr>
          <w:rFonts w:ascii="Arial" w:cs="Arial" w:eastAsia="Arial" w:hAnsi="Arial"/>
          <w:sz w:val="18"/>
          <w:szCs w:val="18"/>
          <w:color w:val="auto"/>
        </w:rPr>
        <w:t>any or all such conditions shall be satisfied. We will provide written notice to the trustee prior to the close of business two business days prior to the redemption date if any such redemption has been rescinded or delayed, and upon receipt the trustee shall provide such notice to each holder of the notes in the same manner in which the notice of redemption was given.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 Change of Control Triggering Event (as defined below) occurs with respect to the notes of a series, unless we have exercised our option to redeem the notes of such series as described above, we will be required to make an offer (the “Change of Control Offer”) to each holder of the notes of such series to repurchase all or any part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(as defined below), but after public announcement of the transaction that constitutes or may constitute the Change of Control, a notice will be mailed (or otherwise delivered in accordance with the applicable procedures of DTC) to 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25"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3" w:name="page194"/>
    <w:bookmarkEnd w:id="193"/>
    <w:p>
      <w:pPr>
        <w:jc w:val="both"/>
        <w:spacing w:after="0" w:line="284" w:lineRule="auto"/>
        <w:rPr>
          <w:sz w:val="20"/>
          <w:szCs w:val="20"/>
          <w:color w:val="auto"/>
        </w:rPr>
      </w:pPr>
      <w:r>
        <w:rPr>
          <w:rFonts w:ascii="Arial" w:cs="Arial" w:eastAsia="Arial" w:hAnsi="Arial"/>
          <w:sz w:val="16"/>
          <w:szCs w:val="16"/>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(as defined below))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w:t>
      </w:r>
    </w:p>
    <w:p>
      <w:pPr>
        <w:spacing w:after="0" w:line="1" w:lineRule="exact"/>
        <w:rPr>
          <w:sz w:val="20"/>
          <w:szCs w:val="20"/>
          <w:color w:val="auto"/>
        </w:rPr>
      </w:pPr>
    </w:p>
    <w:p>
      <w:pPr>
        <w:jc w:val="both"/>
        <w:ind w:firstLine="8"/>
        <w:spacing w:after="0" w:line="267" w:lineRule="auto"/>
        <w:tabs>
          <w:tab w:leader="none" w:pos="26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“Fitch” means Fitch Inc., or any successor thereto.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or Fitch, and the equivalent investment grade credit rating from any additional rating agency or Rating Agencies (as defined below) selected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“Rating Agencies” means (1) each of Fitch, Moody’s and S&amp;P and (2) if any of Fitch, Moody’s and S&amp;P ceases to rate the notes or fails to make a rating of the notes publicly available for reasons outside of our control, a “nationally recognized statistical rating organization” within the meaning of Rule 15c3-1(c)</w:t>
      </w:r>
    </w:p>
    <w:p>
      <w:pPr>
        <w:jc w:val="both"/>
        <w:ind w:right="20"/>
        <w:spacing w:after="0" w:line="260" w:lineRule="auto"/>
        <w:rPr>
          <w:sz w:val="20"/>
          <w:szCs w:val="20"/>
          <w:color w:val="auto"/>
        </w:rPr>
      </w:pPr>
      <w:r>
        <w:rPr>
          <w:rFonts w:ascii="Arial" w:cs="Arial" w:eastAsia="Arial" w:hAnsi="Arial"/>
          <w:sz w:val="18"/>
          <w:szCs w:val="18"/>
          <w:color w:val="auto"/>
        </w:rPr>
        <w:t>(2)(vi)(F) under the Exchange Act selected by us (as certified by a resolution of our board of directors) and which is reasonably acceptable to the trustee as a replacement agency for Fitch, Moody’s or S&amp;P, or all of them, as the case may be.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“Rating Event” means with respect to either series of notes, the rating on such notes is lowered by at least two of the three Rating Agencies and such notes are rated below an Investment Grade Rating by at least two of the three Rating Agencies,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4" w:name="page195"/>
    <w:bookmarkEnd w:id="194"/>
    <w:p>
      <w:pPr>
        <w:jc w:val="both"/>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not entitled to the benefit of any sinking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provided in this section or as provided under “—Exempted Liens and Sale and Leaseback Transactions,” we will not, and will not permit any Subsidiary of ours to, create or assume any Indebtedness (as defined below) secured by any Lien (as defined below) on any of our or their respective Principal Properties (as defined below) unless the notes are secured by such Lien (as defined below) equally and ratably with, or prior to, the Indebtedness secured by such Lien. This restriction does not apply to Indebtedness that is secured by:</w:t>
      </w:r>
    </w:p>
    <w:p>
      <w:pPr>
        <w:spacing w:after="0" w:line="187"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Liens in favor of the U.S. or any state thereof, or any instrumentality of either, to secure certain payments pursuant to any contract or statute;</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5" w:name="page196"/>
    <w:bookmarkEnd w:id="195"/>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Principal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Other than as provided under “—Exempted Liens and Sale and Leaseback Transactions,” we will not, and will not permit any of our Subsidiaries to, enter into any Sale and Leaseback Transaction (as defined below) with respect to any of our or their respective Principal Properties, the acquisition or completion of construction and commencement of full operations of which has occurred more than 270 days prior thereto, unless:</w:t>
      </w:r>
    </w:p>
    <w:p>
      <w:pPr>
        <w:spacing w:after="0" w:line="165"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retirement of the notes or debt of ours ranking equally with the notes or to the retirement of any debt of a Subsidiary of ours, or</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acquisition of another Principal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15% of Consolidated Total Assets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6" w:name="page197"/>
    <w:bookmarkEnd w:id="196"/>
    <w:p>
      <w:pPr>
        <w:ind w:left="660" w:hanging="328"/>
        <w:spacing w:after="0" w:line="277"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170" w:lineRule="exact"/>
        <w:rPr>
          <w:sz w:val="20"/>
          <w:szCs w:val="20"/>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we must deliver specific certification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225"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7" w:name="page198"/>
    <w:bookmarkEnd w:id="197"/>
    <w:p>
      <w:pPr>
        <w:jc w:val="both"/>
        <w:spacing w:after="0" w:line="257" w:lineRule="auto"/>
        <w:rPr>
          <w:sz w:val="20"/>
          <w:szCs w:val="20"/>
          <w:color w:val="auto"/>
        </w:rPr>
      </w:pPr>
      <w:r>
        <w:rPr>
          <w:rFonts w:ascii="Arial" w:cs="Arial" w:eastAsia="Arial" w:hAnsi="Arial"/>
          <w:sz w:val="18"/>
          <w:szCs w:val="18"/>
          <w:color w:val="auto"/>
        </w:rPr>
        <w:t>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of the holders unless the holders offer the trustee indemnity and/or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170"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and/or security satisfactory to it against the cost and other liabilities of taking that action;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and/or security;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issues a ruling or there is a change in applicable U.S. federal tax law, as described below, we can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ourselves from any payment or other obligations on the notes, called “full defeasance,” if we put in place the following other arrangements for you to be repaid:</w:t>
      </w:r>
    </w:p>
    <w:p>
      <w:pPr>
        <w:spacing w:after="0" w:line="184" w:lineRule="exact"/>
        <w:rPr>
          <w:sz w:val="20"/>
          <w:szCs w:val="20"/>
          <w:color w:val="auto"/>
        </w:rPr>
      </w:pPr>
    </w:p>
    <w:p>
      <w:pPr>
        <w:jc w:val="both"/>
        <w:ind w:left="660" w:right="2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18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 You could not look to us for repayment in the unlikely event of any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Conversely, the trust deposit would most likely be protected from claims of our lenders and other creditors if we ever become bankrupt or insolvent.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Covenant Defeasance. </w:t>
      </w:r>
      <w:r>
        <w:rPr>
          <w:rFonts w:ascii="Arial" w:cs="Arial" w:eastAsia="Arial" w:hAnsi="Arial"/>
          <w:sz w:val="17"/>
          <w:szCs w:val="17"/>
          <w:color w:val="auto"/>
        </w:rPr>
        <w:t>We can be released from the restrictive covenants in the notes if we make the arrangements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This is called</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In that event, the registered holders of the notes would lose the protection of those restrictive covenants but would gain the protection of having money and securities set aside in trust to repay the notes</w:t>
      </w:r>
      <w:r>
        <w:rPr>
          <w:rFonts w:ascii="Arial" w:cs="Arial" w:eastAsia="Arial" w:hAnsi="Arial"/>
          <w:sz w:val="17"/>
          <w:szCs w:val="17"/>
          <w:i w:val="1"/>
          <w:iCs w:val="1"/>
          <w:color w:val="auto"/>
        </w:rPr>
        <w:t>.</w:t>
      </w:r>
      <w:r>
        <w:rPr>
          <w:rFonts w:ascii="Arial" w:cs="Arial" w:eastAsia="Arial" w:hAnsi="Arial"/>
          <w:sz w:val="17"/>
          <w:szCs w:val="17"/>
          <w:color w:val="auto"/>
        </w:rPr>
        <w:t xml:space="preserve"> In order to achieve covenant defeasance, we must do the following:</w:t>
      </w:r>
    </w:p>
    <w:p>
      <w:pPr>
        <w:spacing w:after="0" w:line="165" w:lineRule="exact"/>
        <w:rPr>
          <w:sz w:val="20"/>
          <w:szCs w:val="20"/>
          <w:color w:val="auto"/>
        </w:rPr>
      </w:pPr>
    </w:p>
    <w:p>
      <w:pPr>
        <w:jc w:val="both"/>
        <w:ind w:left="660" w:right="20" w:hanging="328"/>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you will not recognize income, gain or loss for U.S. federal income tax purposes as a result of the covenant defeasance and that you will not be taxed on the notes any differently than if the covenant defeasance had not occurred.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we accomplish covenant defeasance, the following provisions of the indenture and the notes would no longer apply unless otherwise specified:</w:t>
      </w:r>
    </w:p>
    <w:p>
      <w:pPr>
        <w:spacing w:after="0" w:line="237"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promises regarding conduct of our business and other matters and any other covenants applicable to the series of notes;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w:t>
      </w:r>
      <w:r>
        <w:rPr>
          <w:rFonts w:ascii="Arial" w:cs="Arial" w:eastAsia="Arial" w:hAnsi="Arial"/>
          <w:sz w:val="18"/>
          <w:szCs w:val="18"/>
          <w:i w:val="1"/>
          <w:iCs w:val="1"/>
          <w:color w:val="auto"/>
        </w:rPr>
        <w:t>.</w:t>
      </w:r>
      <w:r>
        <w:rPr>
          <w:rFonts w:ascii="Arial" w:cs="Arial" w:eastAsia="Arial" w:hAnsi="Arial"/>
          <w:sz w:val="18"/>
          <w:szCs w:val="18"/>
          <w:color w:val="auto"/>
        </w:rPr>
        <w:t xml:space="preserve"> In fact, if one of the remaining events of default occurred (such as our bankruptcy) and the notes become immediately due and payable, there may be such a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Depending on the event causing the default, of course, you may not be able to obtain payment of the shortfall.</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deposit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184" w:lineRule="exact"/>
        <w:rPr>
          <w:sz w:val="20"/>
          <w:szCs w:val="20"/>
          <w:color w:val="auto"/>
        </w:rPr>
      </w:pPr>
    </w:p>
    <w:p>
      <w:pPr>
        <w:ind w:left="660" w:hanging="328"/>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9" w:name="page200"/>
    <w:bookmarkEnd w:id="199"/>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modification and waiver except to increase the voting requirements.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170" w:lineRule="exact"/>
        <w:rPr>
          <w:sz w:val="20"/>
          <w:szCs w:val="20"/>
          <w:color w:val="auto"/>
        </w:rPr>
      </w:pPr>
    </w:p>
    <w:p>
      <w:pPr>
        <w:ind w:left="66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maintain the qualification of the indenture under the Trust Indenture Act of 1939;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conform the indenture or the notes to the description thereof set forth in this prospectus supplement and in the accompanying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170" w:lineRule="exact"/>
        <w:rPr>
          <w:sz w:val="20"/>
          <w:szCs w:val="20"/>
          <w:color w:val="auto"/>
        </w:rPr>
      </w:pPr>
    </w:p>
    <w:p>
      <w:pPr>
        <w:ind w:left="66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0" w:name="page201"/>
    <w:bookmarkEnd w:id="200"/>
    <w:p>
      <w:pPr>
        <w:jc w:val="both"/>
        <w:ind w:left="660" w:hanging="328"/>
        <w:spacing w:after="0" w:line="263" w:lineRule="auto"/>
        <w:tabs>
          <w:tab w:leader="none" w:pos="6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opinion of counsel, each stating that we have complied with all these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trustee is U.S. Bank National Association. U.S. Bank National Association is also the initial paying agent and registrar for the notes.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provides that, except during the continuance of an event of default under the indenture, the trustee under the indenture will perform only such duties as are specifically set forth in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w:t>
      </w:r>
      <w:r>
        <w:rPr>
          <w:rFonts w:ascii="Arial" w:cs="Arial" w:eastAsia="Arial" w:hAnsi="Arial"/>
          <w:sz w:val="18"/>
          <w:szCs w:val="18"/>
          <w:i w:val="1"/>
          <w:iCs w:val="1"/>
          <w:color w:val="auto"/>
        </w:rPr>
        <w:t>.</w:t>
      </w:r>
      <w:r>
        <w:rPr>
          <w:rFonts w:ascii="Arial" w:cs="Arial" w:eastAsia="Arial" w:hAnsi="Arial"/>
          <w:sz w:val="18"/>
          <w:szCs w:val="18"/>
          <w:color w:val="auto"/>
        </w:rPr>
        <w:t xml:space="preserve">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under the indenture is permitted to engage in other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if the trustee under the indenture acquires any prohibited conflicting interest, it must eliminate the conflict or resign.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1" w:name="page202"/>
    <w:bookmarkEnd w:id="201"/>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lease; provided, however, that “Indebtedness” of such Person shall not include any obligation of such Person to any Subsidiary of such Person or to any Person with respect to which such Person is a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“Principal Property” means (1) any manufacturing facility, together with the land upon which it is erected and fixtures comprising a part thereof, owned or leased by us or any Subsidiary and located within the continental U.S. and having a net book value which, on the date the determination as to whether a property is a Principal Property is being made, exceeds 1% of our Consolidated Total Assets other than any such facility or a portion thereof which our board of directors determine in good faith, at any time on or prior to such date, is not of material importance to the total business conducted, or assets owned, by us and our Subsidiaries as an entirety or (2) any shares of stock or Indebtedness of any Subsidiary owning a Principal Property.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of each series is represented by one or more fully registered global notes, without interest coupons, was deposited upon issuance with the trustee as custodian for DTC, and registered in the name of Cede &amp; Co. or its nominee, in each case, for credit to an account of a direct or indirect participant as described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limited circumstances.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notes may be presented for registration of transfer and exchange at the corporate trust offices of the trustee as set forth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interests in the global notes will be subject to the operations and procedures of DTC, Euroclear Bank, S.A./N.V.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7038" w:orient="portrait"/>
          <w:cols w:equalWidth="0" w:num="1">
            <w:col w:w="11240"/>
          </w:cols>
          <w:pgMar w:left="320" w:top="14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5"/>
          <w:szCs w:val="45"/>
          <w:b w:val="1"/>
          <w:bCs w:val="1"/>
          <w:color w:val="2D9CED"/>
        </w:rPr>
        <w:t>Biogen</w:t>
      </w:r>
    </w:p>
    <w:p>
      <w:pPr>
        <w:sectPr>
          <w:pgSz w:w="11900" w:h="17038" w:orient="portrait"/>
          <w:cols w:equalWidth="0" w:num="1">
            <w:col w:w="11240"/>
          </w:cols>
          <w:pgMar w:left="320" w:top="1421" w:right="339" w:bottom="0" w:gutter="0" w:footer="0" w:header="0"/>
          <w:type w:val="continuous"/>
        </w:sectPr>
      </w:pPr>
    </w:p>
    <w:bookmarkStart w:id="202" w:name="page203"/>
    <w:bookmarkEnd w:id="202"/>
    <w:p>
      <w:pPr>
        <w:spacing w:after="0" w:line="200" w:lineRule="exact"/>
        <w:rPr>
          <w:sz w:val="20"/>
          <w:szCs w:val="20"/>
          <w:color w:val="auto"/>
        </w:rPr>
      </w:pPr>
    </w:p>
    <w:p>
      <w:pPr>
        <w:spacing w:after="0" w:line="202" w:lineRule="auto"/>
        <w:rPr>
          <w:sz w:val="20"/>
          <w:szCs w:val="20"/>
          <w:color w:val="auto"/>
        </w:rPr>
      </w:pPr>
      <w:r>
        <w:rPr>
          <w:rFonts w:ascii="Arial" w:cs="Arial" w:eastAsia="Arial" w:hAnsi="Arial"/>
          <w:sz w:val="45"/>
          <w:szCs w:val="45"/>
          <w:b w:val="1"/>
          <w:bCs w:val="1"/>
          <w:color w:val="2D9CED"/>
        </w:rPr>
        <w:t>Biogen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10.41</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October 12, 2017</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Chirfi Guindo</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[address]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Dear Chirfi,</w:t>
      </w:r>
    </w:p>
    <w:p>
      <w:pPr>
        <w:spacing w:after="0" w:line="262" w:lineRule="exact"/>
        <w:rPr>
          <w:sz w:val="20"/>
          <w:szCs w:val="20"/>
          <w:color w:val="auto"/>
        </w:rPr>
      </w:pPr>
    </w:p>
    <w:p>
      <w:pPr>
        <w:ind w:left="300" w:right="340" w:firstLine="8"/>
        <w:spacing w:after="0" w:line="285" w:lineRule="auto"/>
        <w:rPr>
          <w:sz w:val="20"/>
          <w:szCs w:val="20"/>
          <w:color w:val="auto"/>
        </w:rPr>
      </w:pPr>
      <w:r>
        <w:rPr>
          <w:rFonts w:ascii="Arial" w:cs="Arial" w:eastAsia="Arial" w:hAnsi="Arial"/>
          <w:sz w:val="16"/>
          <w:szCs w:val="16"/>
          <w:color w:val="auto"/>
        </w:rPr>
        <w:t xml:space="preserve">I am pleased to extend you this offer of employment to join Biogen with the job title of EVP, Global Commercial. This position will report to Michel Vounatsos, Chief Executive Officer. Please note that neither this letter nor any other materials constitute a contract of employment with Biogen. Your employment at Biogen is employment at-will. This means that just as you are free to leave your employment at any time, with or without cause or notice, Biogen also has the same right to terminate your employment at any time, with or without cause or notice. The specific terms of our </w:t>
      </w:r>
      <w:r>
        <w:rPr>
          <w:rFonts w:ascii="Arial" w:cs="Arial" w:eastAsia="Arial" w:hAnsi="Arial"/>
          <w:sz w:val="14"/>
          <w:szCs w:val="14"/>
          <w:i w:val="1"/>
          <w:iCs w:val="1"/>
          <w:color w:val="auto"/>
        </w:rPr>
        <w:t>offer</w:t>
      </w:r>
      <w:r>
        <w:rPr>
          <w:rFonts w:ascii="Arial" w:cs="Arial" w:eastAsia="Arial" w:hAnsi="Arial"/>
          <w:sz w:val="16"/>
          <w:szCs w:val="16"/>
          <w:color w:val="auto"/>
        </w:rPr>
        <w:t xml:space="preserve"> are listed below; please take the time to review the offer, sign and return to me by October 15, 2017.</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position will be based at our Cambridge, MA facility.</w:t>
      </w:r>
    </w:p>
    <w:p>
      <w:pPr>
        <w:spacing w:after="0" w:line="255" w:lineRule="exact"/>
        <w:rPr>
          <w:sz w:val="20"/>
          <w:szCs w:val="20"/>
          <w:color w:val="auto"/>
        </w:rPr>
      </w:pPr>
    </w:p>
    <w:p>
      <w:pPr>
        <w:ind w:left="300" w:right="500" w:hanging="4"/>
        <w:spacing w:after="0" w:line="339" w:lineRule="auto"/>
        <w:rPr>
          <w:sz w:val="20"/>
          <w:szCs w:val="20"/>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This is a full-time, exempt position and your starting annual salary will be $500,000.00, and which will be paid biweekly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our standard payroll policies.</w:t>
      </w:r>
    </w:p>
    <w:p>
      <w:pPr>
        <w:spacing w:after="0" w:line="169" w:lineRule="exact"/>
        <w:rPr>
          <w:sz w:val="20"/>
          <w:szCs w:val="20"/>
          <w:color w:val="auto"/>
        </w:rPr>
      </w:pPr>
    </w:p>
    <w:p>
      <w:pPr>
        <w:ind w:left="300" w:right="460" w:hanging="1"/>
        <w:spacing w:after="0" w:line="284" w:lineRule="auto"/>
        <w:rPr>
          <w:sz w:val="20"/>
          <w:szCs w:val="20"/>
          <w:color w:val="auto"/>
        </w:rPr>
      </w:pPr>
      <w:r>
        <w:rPr>
          <w:rFonts w:ascii="Arial" w:cs="Arial" w:eastAsia="Arial" w:hAnsi="Arial"/>
          <w:sz w:val="16"/>
          <w:szCs w:val="16"/>
          <w:b w:val="1"/>
          <w:bCs w:val="1"/>
          <w:color w:val="auto"/>
        </w:rPr>
        <w:t xml:space="preserve">Sign-On Bonus: </w:t>
      </w:r>
      <w:r>
        <w:rPr>
          <w:rFonts w:ascii="Arial" w:cs="Arial" w:eastAsia="Arial" w:hAnsi="Arial"/>
          <w:sz w:val="16"/>
          <w:szCs w:val="16"/>
          <w:color w:val="auto"/>
        </w:rPr>
        <w:t>Upon employment , you will receive $250,000.00 as a one-time cash bonus. The bonus will be paid to you within two pay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after your start date provided that you sign the enclosed Cash Sign-On Bonus Agreement, which describes the terms and conditions of the cash sign-on bonus.</w:t>
      </w:r>
    </w:p>
    <w:p>
      <w:pPr>
        <w:spacing w:after="0" w:line="211" w:lineRule="exact"/>
        <w:rPr>
          <w:sz w:val="20"/>
          <w:szCs w:val="20"/>
          <w:color w:val="auto"/>
        </w:rPr>
      </w:pPr>
    </w:p>
    <w:p>
      <w:pPr>
        <w:ind w:left="280" w:right="440" w:firstLine="5"/>
        <w:spacing w:after="0" w:line="301" w:lineRule="auto"/>
        <w:rPr>
          <w:sz w:val="20"/>
          <w:szCs w:val="20"/>
          <w:color w:val="auto"/>
        </w:rPr>
      </w:pPr>
      <w:r>
        <w:rPr>
          <w:rFonts w:ascii="Arial" w:cs="Arial" w:eastAsia="Arial" w:hAnsi="Arial"/>
          <w:sz w:val="16"/>
          <w:szCs w:val="16"/>
          <w:b w:val="1"/>
          <w:bCs w:val="1"/>
          <w:color w:val="auto"/>
        </w:rPr>
        <w:t xml:space="preserve">Annual Bonus Plan: </w:t>
      </w:r>
      <w:r>
        <w:rPr>
          <w:rFonts w:ascii="Arial" w:cs="Arial" w:eastAsia="Arial" w:hAnsi="Arial"/>
          <w:sz w:val="16"/>
          <w:szCs w:val="16"/>
          <w:color w:val="auto"/>
        </w:rPr>
        <w:t>You will be eligible to participate in the Biogen Annual Bonus Plan, beginning in 2018, with a target bonus opportunity of 70%</w:t>
      </w:r>
      <w:r>
        <w:rPr>
          <w:rFonts w:ascii="Arial" w:cs="Arial" w:eastAsia="Arial" w:hAnsi="Arial"/>
          <w:sz w:val="16"/>
          <w:szCs w:val="16"/>
          <w:b w:val="1"/>
          <w:bCs w:val="1"/>
          <w:color w:val="auto"/>
        </w:rPr>
        <w:t xml:space="preserve"> </w:t>
      </w:r>
      <w:r>
        <w:rPr>
          <w:rFonts w:ascii="Arial" w:cs="Arial" w:eastAsia="Arial" w:hAnsi="Arial"/>
          <w:sz w:val="16"/>
          <w:szCs w:val="16"/>
          <w:color w:val="auto"/>
        </w:rPr>
        <w:t>of your annual base salary. Eligibility details and other terms of the Plan are included in the current year's Plan document, which will be made available upon your employment with the Company.</w:t>
      </w:r>
    </w:p>
    <w:p>
      <w:pPr>
        <w:spacing w:after="0" w:line="199" w:lineRule="exact"/>
        <w:rPr>
          <w:sz w:val="20"/>
          <w:szCs w:val="20"/>
          <w:color w:val="auto"/>
        </w:rPr>
      </w:pPr>
    </w:p>
    <w:p>
      <w:pPr>
        <w:jc w:val="both"/>
        <w:ind w:left="280" w:right="500" w:firstLine="2"/>
        <w:spacing w:after="0" w:line="290" w:lineRule="auto"/>
        <w:rPr>
          <w:sz w:val="20"/>
          <w:szCs w:val="20"/>
          <w:color w:val="auto"/>
        </w:rPr>
      </w:pPr>
      <w:r>
        <w:rPr>
          <w:rFonts w:ascii="Arial" w:cs="Arial" w:eastAsia="Arial" w:hAnsi="Arial"/>
          <w:sz w:val="16"/>
          <w:szCs w:val="16"/>
          <w:b w:val="1"/>
          <w:bCs w:val="1"/>
          <w:color w:val="auto"/>
        </w:rPr>
        <w:t xml:space="preserve">Long-Term Incentive (LTI) Plan: </w:t>
      </w:r>
      <w:r>
        <w:rPr>
          <w:rFonts w:ascii="Arial" w:cs="Arial" w:eastAsia="Arial" w:hAnsi="Arial"/>
          <w:sz w:val="16"/>
          <w:szCs w:val="16"/>
          <w:color w:val="auto"/>
        </w:rPr>
        <w:t>Provided that you commence employment before December 1, 2017, you will be granted Restricted-Stock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(RSU) and Market Stock Units (MSU) in connection with the commencement of your employment. The approximate grant date value of your RSU award will be</w:t>
      </w:r>
    </w:p>
    <w:p>
      <w:pPr>
        <w:spacing w:after="0" w:line="1" w:lineRule="exact"/>
        <w:rPr>
          <w:sz w:val="20"/>
          <w:szCs w:val="20"/>
          <w:color w:val="auto"/>
        </w:rPr>
      </w:pPr>
    </w:p>
    <w:p>
      <w:pPr>
        <w:ind w:left="280" w:right="260" w:firstLine="4"/>
        <w:spacing w:after="0" w:line="284" w:lineRule="auto"/>
        <w:rPr>
          <w:sz w:val="20"/>
          <w:szCs w:val="20"/>
          <w:color w:val="auto"/>
        </w:rPr>
      </w:pPr>
      <w:r>
        <w:rPr>
          <w:rFonts w:ascii="Arial" w:cs="Arial" w:eastAsia="Arial" w:hAnsi="Arial"/>
          <w:sz w:val="16"/>
          <w:szCs w:val="16"/>
          <w:color w:val="auto"/>
        </w:rPr>
        <w:t>$750,000.00. The number of RSU shares granted to you will be calculated by dividing the approximate grant date value by the closing price of Biogen stock (NASDAQ) on the date of grant, with the resulting number of shares rounded to the nearest five shares. The approximate grant date value of your MSU award will be $750,000.00. The number of MSU shares granted to you will be calculated by dividing the approximate grant date value by the closing price of Biogen stock (NASDAQ) and the MSU accounting valuation factor effective at the time of grant, with the resulting number of shares rounded to the nearest five shares. Your RSU and MSU awards will be granted on the first trading day of the month following your start date. The grant of RSU and MSU awards described above are contingent upon you starting employment at Biogen prior to December 1, 2017.</w:t>
      </w:r>
    </w:p>
    <w:p>
      <w:pPr>
        <w:spacing w:after="0" w:line="246" w:lineRule="exact"/>
        <w:rPr>
          <w:sz w:val="20"/>
          <w:szCs w:val="20"/>
          <w:color w:val="auto"/>
        </w:rPr>
      </w:pPr>
    </w:p>
    <w:p>
      <w:pPr>
        <w:jc w:val="both"/>
        <w:ind w:left="260" w:right="340" w:firstLine="6"/>
        <w:spacing w:after="0" w:line="288" w:lineRule="auto"/>
        <w:rPr>
          <w:sz w:val="20"/>
          <w:szCs w:val="20"/>
          <w:color w:val="auto"/>
        </w:rPr>
      </w:pPr>
      <w:r>
        <w:rPr>
          <w:rFonts w:ascii="Arial" w:cs="Arial" w:eastAsia="Arial" w:hAnsi="Arial"/>
          <w:sz w:val="16"/>
          <w:szCs w:val="16"/>
          <w:color w:val="auto"/>
        </w:rPr>
        <w:t xml:space="preserve">The actual terms of your RSU and MSU awards will be communicated to you following the grant date. Your grants will be awarded under the Biogen Inc. 2017 Omnibus Equity Plan (the "2017 Plan"). You are considered a "designated employee," as defined in the Plan. The Plan and Prospectus are available to you on Biogen's benefits website at </w:t>
      </w:r>
      <w:r>
        <w:rPr>
          <w:rFonts w:ascii="Arial" w:cs="Arial" w:eastAsia="Arial" w:hAnsi="Arial"/>
          <w:sz w:val="16"/>
          <w:szCs w:val="16"/>
          <w:u w:val="single" w:color="auto"/>
          <w:color w:val="auto"/>
        </w:rPr>
        <w:t>[website]</w:t>
      </w:r>
      <w:r>
        <w:rPr>
          <w:rFonts w:ascii="Arial" w:cs="Arial" w:eastAsia="Arial" w:hAnsi="Arial"/>
          <w:sz w:val="16"/>
          <w:szCs w:val="16"/>
          <w:color w:val="auto"/>
        </w:rPr>
        <w:t>. Please read these documents for information about your LTl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7CBFEB"/>
        </w:rPr>
        <w:t xml:space="preserve">225 </w:t>
      </w:r>
      <w:r>
        <w:rPr>
          <w:rFonts w:ascii="Arial" w:cs="Arial" w:eastAsia="Arial" w:hAnsi="Arial"/>
          <w:sz w:val="13"/>
          <w:szCs w:val="13"/>
          <w:color w:val="67B5EB"/>
        </w:rPr>
        <w:t>Binney St1eel, Cambridge</w:t>
      </w:r>
      <w:r>
        <w:rPr>
          <w:rFonts w:ascii="Arial" w:cs="Arial" w:eastAsia="Arial" w:hAnsi="Arial"/>
          <w:sz w:val="13"/>
          <w:szCs w:val="13"/>
          <w:color w:val="9EC6DF"/>
        </w:rPr>
        <w:t>,</w:t>
      </w:r>
      <w:r>
        <w:rPr>
          <w:rFonts w:ascii="Arial" w:cs="Arial" w:eastAsia="Arial" w:hAnsi="Arial"/>
          <w:sz w:val="13"/>
          <w:szCs w:val="13"/>
          <w:color w:val="7CBFEB"/>
        </w:rPr>
        <w:t xml:space="preserve"> </w:t>
      </w:r>
      <w:r>
        <w:rPr>
          <w:rFonts w:ascii="Arial" w:cs="Arial" w:eastAsia="Arial" w:hAnsi="Arial"/>
          <w:sz w:val="14"/>
          <w:szCs w:val="14"/>
          <w:b w:val="1"/>
          <w:bCs w:val="1"/>
          <w:color w:val="67B5EB"/>
        </w:rPr>
        <w:t>MA</w:t>
      </w:r>
      <w:r>
        <w:rPr>
          <w:rFonts w:ascii="Arial" w:cs="Arial" w:eastAsia="Arial" w:hAnsi="Arial"/>
          <w:sz w:val="13"/>
          <w:szCs w:val="13"/>
          <w:color w:val="7CBFEB"/>
        </w:rPr>
        <w:t xml:space="preserve"> </w:t>
      </w:r>
      <w:r>
        <w:rPr>
          <w:rFonts w:ascii="Arial" w:cs="Arial" w:eastAsia="Arial" w:hAnsi="Arial"/>
          <w:sz w:val="13"/>
          <w:szCs w:val="13"/>
          <w:color w:val="67B5EB"/>
        </w:rPr>
        <w:t>02142</w:t>
      </w:r>
      <w:r>
        <w:rPr>
          <w:rFonts w:ascii="Arial" w:cs="Arial" w:eastAsia="Arial" w:hAnsi="Arial"/>
          <w:sz w:val="13"/>
          <w:szCs w:val="13"/>
          <w:color w:val="7CBFEB"/>
        </w:rPr>
        <w:t xml:space="preserve"> </w:t>
      </w:r>
      <w:r>
        <w:rPr>
          <w:rFonts w:ascii="Arial" w:cs="Arial" w:eastAsia="Arial" w:hAnsi="Arial"/>
          <w:sz w:val="13"/>
          <w:szCs w:val="13"/>
          <w:color w:val="5BA1E4"/>
        </w:rPr>
        <w:t>•</w:t>
      </w:r>
      <w:r>
        <w:rPr>
          <w:rFonts w:ascii="Arial" w:cs="Arial" w:eastAsia="Arial" w:hAnsi="Arial"/>
          <w:sz w:val="13"/>
          <w:szCs w:val="13"/>
          <w:color w:val="7CBFEB"/>
        </w:rPr>
        <w:t xml:space="preserve"> </w:t>
      </w:r>
      <w:r>
        <w:rPr>
          <w:rFonts w:ascii="Arial" w:cs="Arial" w:eastAsia="Arial" w:hAnsi="Arial"/>
          <w:sz w:val="13"/>
          <w:szCs w:val="13"/>
          <w:color w:val="67B5EB"/>
        </w:rPr>
        <w:t>Phone 781-464-2000</w:t>
      </w:r>
      <w:r>
        <w:rPr>
          <w:rFonts w:ascii="Arial" w:cs="Arial" w:eastAsia="Arial" w:hAnsi="Arial"/>
          <w:sz w:val="13"/>
          <w:szCs w:val="13"/>
          <w:color w:val="7CBFEB"/>
        </w:rPr>
        <w:t xml:space="preserve"> </w:t>
      </w:r>
      <w:r>
        <w:rPr>
          <w:rFonts w:ascii="Arial" w:cs="Arial" w:eastAsia="Arial" w:hAnsi="Arial"/>
          <w:sz w:val="13"/>
          <w:szCs w:val="13"/>
          <w:color w:val="5BA1E4"/>
        </w:rPr>
        <w:t>•</w:t>
      </w:r>
      <w:r>
        <w:rPr>
          <w:rFonts w:ascii="Arial" w:cs="Arial" w:eastAsia="Arial" w:hAnsi="Arial"/>
          <w:sz w:val="13"/>
          <w:szCs w:val="13"/>
          <w:color w:val="7CBFEB"/>
        </w:rPr>
        <w:t xml:space="preserve"> </w:t>
      </w:r>
      <w:r>
        <w:rPr>
          <w:rFonts w:ascii="Arial" w:cs="Arial" w:eastAsia="Arial" w:hAnsi="Arial"/>
          <w:sz w:val="13"/>
          <w:szCs w:val="13"/>
          <w:color w:val="67B5EB"/>
        </w:rPr>
        <w:t>www</w:t>
      </w:r>
      <w:r>
        <w:rPr>
          <w:rFonts w:ascii="Arial" w:cs="Arial" w:eastAsia="Arial" w:hAnsi="Arial"/>
          <w:sz w:val="13"/>
          <w:szCs w:val="13"/>
          <w:color w:val="9EC6DF"/>
        </w:rPr>
        <w:t>.</w:t>
      </w:r>
      <w:r>
        <w:rPr>
          <w:rFonts w:ascii="Arial" w:cs="Arial" w:eastAsia="Arial" w:hAnsi="Arial"/>
          <w:sz w:val="13"/>
          <w:szCs w:val="13"/>
          <w:color w:val="67B5EB"/>
        </w:rPr>
        <w:t>biogen</w:t>
      </w:r>
      <w:r>
        <w:rPr>
          <w:rFonts w:ascii="Arial" w:cs="Arial" w:eastAsia="Arial" w:hAnsi="Arial"/>
          <w:sz w:val="13"/>
          <w:szCs w:val="13"/>
          <w:color w:val="7CBFEB"/>
        </w:rPr>
        <w:t xml:space="preserve"> </w:t>
      </w:r>
      <w:r>
        <w:rPr>
          <w:rFonts w:ascii="Arial" w:cs="Arial" w:eastAsia="Arial" w:hAnsi="Arial"/>
          <w:sz w:val="13"/>
          <w:szCs w:val="13"/>
          <w:color w:val="9EC6DF"/>
        </w:rPr>
        <w:t>.</w:t>
      </w:r>
      <w:r>
        <w:rPr>
          <w:rFonts w:ascii="Arial" w:cs="Arial" w:eastAsia="Arial" w:hAnsi="Arial"/>
          <w:sz w:val="13"/>
          <w:szCs w:val="13"/>
          <w:color w:val="7CBFEB"/>
        </w:rPr>
        <w:t>com</w:t>
      </w:r>
    </w:p>
    <w:p>
      <w:pPr>
        <w:sectPr>
          <w:pgSz w:w="11900" w:h="17038" w:orient="portrait"/>
          <w:cols w:equalWidth="0" w:num="1">
            <w:col w:w="11240"/>
          </w:cols>
          <w:pgMar w:left="320" w:top="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45"/>
          <w:szCs w:val="45"/>
          <w:b w:val="1"/>
          <w:bCs w:val="1"/>
          <w:color w:val="2D97EB"/>
        </w:rPr>
        <w:t>Biogen</w:t>
      </w:r>
    </w:p>
    <w:p>
      <w:pPr>
        <w:sectPr>
          <w:pgSz w:w="11900" w:h="17038" w:orient="portrait"/>
          <w:cols w:equalWidth="0" w:num="1">
            <w:col w:w="11240"/>
          </w:cols>
          <w:pgMar w:left="320" w:top="0" w:right="339" w:bottom="0" w:gutter="0" w:footer="0" w:header="0"/>
          <w:type w:val="continuous"/>
        </w:sectPr>
      </w:pPr>
    </w:p>
    <w:bookmarkStart w:id="203" w:name="page204"/>
    <w:bookmarkEnd w:id="203"/>
    <w:p>
      <w:pPr>
        <w:spacing w:after="0" w:line="200" w:lineRule="exact"/>
        <w:rPr>
          <w:sz w:val="20"/>
          <w:szCs w:val="20"/>
          <w:color w:val="auto"/>
        </w:rPr>
      </w:pPr>
    </w:p>
    <w:p>
      <w:pPr>
        <w:spacing w:after="0" w:line="202" w:lineRule="auto"/>
        <w:rPr>
          <w:sz w:val="20"/>
          <w:szCs w:val="20"/>
          <w:color w:val="auto"/>
        </w:rPr>
      </w:pPr>
      <w:r>
        <w:rPr>
          <w:rFonts w:ascii="Arial" w:cs="Arial" w:eastAsia="Arial" w:hAnsi="Arial"/>
          <w:sz w:val="45"/>
          <w:szCs w:val="45"/>
          <w:b w:val="1"/>
          <w:bCs w:val="1"/>
          <w:color w:val="2D97EB"/>
        </w:rPr>
        <w:t>Biogen</w:t>
      </w:r>
      <w:r>
        <w:rPr>
          <w:rFonts w:ascii="Arial" w:cs="Arial" w:eastAsia="Arial" w:hAnsi="Arial"/>
          <w:sz w:val="45"/>
          <w:szCs w:val="45"/>
          <w:b w:val="1"/>
          <w:bCs w:val="1"/>
          <w:color w:val="90CFF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right="120" w:firstLine="16"/>
        <w:spacing w:after="0" w:line="302" w:lineRule="auto"/>
        <w:rPr>
          <w:sz w:val="20"/>
          <w:szCs w:val="20"/>
          <w:color w:val="auto"/>
        </w:rPr>
      </w:pPr>
      <w:r>
        <w:rPr>
          <w:rFonts w:ascii="Arial" w:cs="Arial" w:eastAsia="Arial" w:hAnsi="Arial"/>
          <w:sz w:val="16"/>
          <w:szCs w:val="16"/>
          <w:color w:val="auto"/>
        </w:rPr>
        <w:t>Each year, typically in February, you will be eligible to receive an annual Long Term Incentive (LTl) award which will be based on the planning range in effect at the time of grant. A current planning reference value for your role is $1,500,000 and our current annual performance-based LTI vehicles have a maximum payout of 200% of the target grant. Actual LTl award values, amounts, delivery vehicles and payout percentages and metrics will be determined by the Compensation and Management Development Committee of the Board of Directors (CMDC) in its sole discretion based upon performance, future contribution expectations and other considerations. Your first eligible annual grant will be February 2019.</w:t>
      </w:r>
    </w:p>
    <w:p>
      <w:pPr>
        <w:spacing w:after="0" w:line="213" w:lineRule="exact"/>
        <w:rPr>
          <w:sz w:val="20"/>
          <w:szCs w:val="20"/>
          <w:color w:val="auto"/>
        </w:rPr>
      </w:pPr>
    </w:p>
    <w:p>
      <w:pPr>
        <w:ind w:left="320" w:right="300" w:firstLine="6"/>
        <w:spacing w:after="0" w:line="295"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Biogen offers a robust and highly competitive employee benefits program. As an employee, you will be able to choose from a</w:t>
      </w:r>
      <w:r>
        <w:rPr>
          <w:rFonts w:ascii="Arial" w:cs="Arial" w:eastAsia="Arial" w:hAnsi="Arial"/>
          <w:sz w:val="16"/>
          <w:szCs w:val="16"/>
          <w:b w:val="1"/>
          <w:bCs w:val="1"/>
          <w:color w:val="auto"/>
        </w:rPr>
        <w:t xml:space="preserve"> </w:t>
      </w:r>
      <w:r>
        <w:rPr>
          <w:rFonts w:ascii="Arial" w:cs="Arial" w:eastAsia="Arial" w:hAnsi="Arial"/>
          <w:sz w:val="16"/>
          <w:szCs w:val="16"/>
          <w:color w:val="auto"/>
        </w:rPr>
        <w:t>menu of options through our flexible benefits program. These benefits include a 401(k) savings plan; group health care, including medical, dental, prescription drug and vision coverage; life, dependent life and disability insurance; as well as flexible spending accounts for eligible medical and dependent care expenses.</w:t>
      </w:r>
    </w:p>
    <w:p>
      <w:pPr>
        <w:spacing w:after="0" w:line="236" w:lineRule="exact"/>
        <w:rPr>
          <w:sz w:val="20"/>
          <w:szCs w:val="20"/>
          <w:color w:val="auto"/>
        </w:rPr>
      </w:pPr>
    </w:p>
    <w:p>
      <w:pPr>
        <w:ind w:left="320" w:right="240" w:firstLine="14"/>
        <w:spacing w:after="0" w:line="288" w:lineRule="auto"/>
        <w:rPr>
          <w:sz w:val="20"/>
          <w:szCs w:val="20"/>
          <w:color w:val="auto"/>
        </w:rPr>
      </w:pPr>
      <w:r>
        <w:rPr>
          <w:rFonts w:ascii="Arial" w:cs="Arial" w:eastAsia="Arial" w:hAnsi="Arial"/>
          <w:sz w:val="16"/>
          <w:szCs w:val="16"/>
          <w:color w:val="auto"/>
        </w:rPr>
        <w:t>You are also entitled to up to 20 vacation days (160 hours) per year (pro-rated if you work part-time). Additional benefit offerings include an Employee Stock Purchase Plan (ESPP) and work/life benefits such as a concierge service and access to subsidized back-up dependent care. Please visit Biogen's Benefits website using the below link and login information to familiarize yourself with Biogen's complete benefit plan offerings.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URL: [website]</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Username: [username]</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Password: [password]</w:t>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Additional Executive Benefits</w:t>
      </w:r>
    </w:p>
    <w:p>
      <w:pPr>
        <w:spacing w:after="0" w:line="262" w:lineRule="exact"/>
        <w:rPr>
          <w:sz w:val="20"/>
          <w:szCs w:val="20"/>
          <w:color w:val="auto"/>
        </w:rPr>
      </w:pPr>
    </w:p>
    <w:p>
      <w:pPr>
        <w:ind w:left="620" w:right="140" w:firstLine="4"/>
        <w:spacing w:after="0" w:line="291" w:lineRule="auto"/>
        <w:rPr>
          <w:sz w:val="20"/>
          <w:szCs w:val="20"/>
          <w:color w:val="auto"/>
        </w:rPr>
      </w:pPr>
      <w:r>
        <w:rPr>
          <w:rFonts w:ascii="Arial" w:cs="Arial" w:eastAsia="Arial" w:hAnsi="Arial"/>
          <w:sz w:val="16"/>
          <w:szCs w:val="16"/>
          <w:b w:val="1"/>
          <w:bCs w:val="1"/>
          <w:color w:val="auto"/>
        </w:rPr>
        <w:t xml:space="preserve">Supplemental Savings Plan: </w:t>
      </w:r>
      <w:r>
        <w:rPr>
          <w:rFonts w:ascii="Arial" w:cs="Arial" w:eastAsia="Arial" w:hAnsi="Arial"/>
          <w:sz w:val="16"/>
          <w:szCs w:val="16"/>
          <w:color w:val="auto"/>
        </w:rPr>
        <w:t>You will be entitled to participate in Biogen's Supplemental Savings Plan (SSP). This plan has two features .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allows you to make pre-tax deferrals of up to 80% of your base salary and up to 100% of your Annual Bonus payment and certain other eligible incentive payments. Your contributions to this plan may be limited by your contributions towards other plans (e.g., 401(k), ESPP, medical, etc.). The second feature is a Company contribution of 6% of certain eligible compensation such as salary and annual bonus that is above the IRS maximum compensation limit of the 401(k) plan. You will be provided with SSP enrollment information upon your employment with the Company.</w:t>
      </w:r>
    </w:p>
    <w:p>
      <w:pPr>
        <w:spacing w:after="0" w:line="200" w:lineRule="exact"/>
        <w:rPr>
          <w:sz w:val="20"/>
          <w:szCs w:val="20"/>
          <w:color w:val="auto"/>
        </w:rPr>
      </w:pPr>
    </w:p>
    <w:p>
      <w:pPr>
        <w:spacing w:after="0" w:line="237" w:lineRule="exact"/>
        <w:rPr>
          <w:sz w:val="20"/>
          <w:szCs w:val="20"/>
          <w:color w:val="auto"/>
        </w:rPr>
      </w:pPr>
    </w:p>
    <w:p>
      <w:pPr>
        <w:ind w:left="620" w:right="460" w:firstLine="2"/>
        <w:spacing w:after="0" w:line="295" w:lineRule="auto"/>
        <w:rPr>
          <w:sz w:val="20"/>
          <w:szCs w:val="20"/>
          <w:color w:val="auto"/>
        </w:rPr>
      </w:pPr>
      <w:r>
        <w:rPr>
          <w:rFonts w:ascii="Arial" w:cs="Arial" w:eastAsia="Arial" w:hAnsi="Arial"/>
          <w:sz w:val="16"/>
          <w:szCs w:val="16"/>
          <w:b w:val="1"/>
          <w:bCs w:val="1"/>
          <w:color w:val="auto"/>
        </w:rPr>
        <w:t xml:space="preserve">Life Insurance: </w:t>
      </w:r>
      <w:r>
        <w:rPr>
          <w:rFonts w:ascii="Arial" w:cs="Arial" w:eastAsia="Arial" w:hAnsi="Arial"/>
          <w:sz w:val="16"/>
          <w:szCs w:val="16"/>
          <w:color w:val="auto"/>
        </w:rPr>
        <w:t>You will be provided life insurance coverage equal to three times your annual base salary, subject to meeting the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stated in the group term life insurance policy for U.S. employees. Biogen pays the premium for this insurance. The IRS requires employers to impute the value of company-paid life insurance for coverage over $50,000. This imputed income will be displayed on your pay stub.</w:t>
      </w:r>
    </w:p>
    <w:p>
      <w:pPr>
        <w:spacing w:after="0" w:line="202" w:lineRule="exact"/>
        <w:rPr>
          <w:sz w:val="20"/>
          <w:szCs w:val="20"/>
          <w:color w:val="auto"/>
        </w:rPr>
      </w:pPr>
    </w:p>
    <w:p>
      <w:pPr>
        <w:ind w:left="620" w:right="660" w:hanging="1"/>
        <w:spacing w:after="0" w:line="321" w:lineRule="auto"/>
        <w:rPr>
          <w:sz w:val="20"/>
          <w:szCs w:val="20"/>
          <w:color w:val="auto"/>
        </w:rPr>
      </w:pPr>
      <w:r>
        <w:rPr>
          <w:rFonts w:ascii="Arial" w:cs="Arial" w:eastAsia="Arial" w:hAnsi="Arial"/>
          <w:sz w:val="16"/>
          <w:szCs w:val="16"/>
          <w:b w:val="1"/>
          <w:bCs w:val="1"/>
          <w:color w:val="auto"/>
        </w:rPr>
        <w:t xml:space="preserve">Severance: </w:t>
      </w:r>
      <w:r>
        <w:rPr>
          <w:rFonts w:ascii="Arial" w:cs="Arial" w:eastAsia="Arial" w:hAnsi="Arial"/>
          <w:sz w:val="16"/>
          <w:szCs w:val="16"/>
          <w:color w:val="auto"/>
        </w:rPr>
        <w:t>You will be entitled to severance benefits in accordance with the Severance Plan for U.S. Executive Vice Presidents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2014 as such plan may be amended from time to time.</w:t>
      </w:r>
    </w:p>
    <w:p>
      <w:pPr>
        <w:spacing w:after="0" w:line="196" w:lineRule="exact"/>
        <w:rPr>
          <w:sz w:val="20"/>
          <w:szCs w:val="20"/>
          <w:color w:val="auto"/>
        </w:rPr>
      </w:pPr>
    </w:p>
    <w:p>
      <w:pPr>
        <w:ind w:left="620" w:hanging="2"/>
        <w:spacing w:after="0" w:line="339" w:lineRule="auto"/>
        <w:rPr>
          <w:sz w:val="20"/>
          <w:szCs w:val="20"/>
          <w:color w:val="auto"/>
        </w:rPr>
      </w:pPr>
      <w:r>
        <w:rPr>
          <w:rFonts w:ascii="Arial" w:cs="Arial" w:eastAsia="Arial" w:hAnsi="Arial"/>
          <w:sz w:val="16"/>
          <w:szCs w:val="16"/>
          <w:b w:val="1"/>
          <w:bCs w:val="1"/>
          <w:color w:val="auto"/>
        </w:rPr>
        <w:t xml:space="preserve">Tax </w:t>
      </w:r>
      <w:r>
        <w:rPr>
          <w:rFonts w:ascii="Arial" w:cs="Arial" w:eastAsia="Arial" w:hAnsi="Arial"/>
          <w:sz w:val="14"/>
          <w:szCs w:val="14"/>
          <w:b w:val="1"/>
          <w:bCs w:val="1"/>
          <w:color w:val="auto"/>
        </w:rPr>
        <w:t>&amp;</w:t>
      </w:r>
      <w:r>
        <w:rPr>
          <w:rFonts w:ascii="Arial" w:cs="Arial" w:eastAsia="Arial" w:hAnsi="Arial"/>
          <w:sz w:val="16"/>
          <w:szCs w:val="16"/>
          <w:b w:val="1"/>
          <w:bCs w:val="1"/>
          <w:color w:val="auto"/>
        </w:rPr>
        <w:t xml:space="preserve"> Financial Planning and Executive Physicals: </w:t>
      </w:r>
      <w:r>
        <w:rPr>
          <w:rFonts w:ascii="Arial" w:cs="Arial" w:eastAsia="Arial" w:hAnsi="Arial"/>
          <w:sz w:val="16"/>
          <w:szCs w:val="16"/>
          <w:color w:val="auto"/>
        </w:rPr>
        <w:t>You are eligible for annual reimbursement of expenses for qualified services such as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and state income tax planning and/or preparation, financial and estate planning services, and the purchase of tax and/or financial planning tools.</w:t>
      </w:r>
    </w:p>
    <w:p>
      <w:pPr>
        <w:spacing w:after="0" w:line="67" w:lineRule="exact"/>
        <w:rPr>
          <w:sz w:val="20"/>
          <w:szCs w:val="20"/>
          <w:color w:val="auto"/>
        </w:rPr>
      </w:pPr>
    </w:p>
    <w:p>
      <w:pPr>
        <w:ind w:left="620" w:right="180" w:firstLine="2"/>
        <w:spacing w:after="0" w:line="286" w:lineRule="auto"/>
        <w:rPr>
          <w:sz w:val="20"/>
          <w:szCs w:val="20"/>
          <w:color w:val="auto"/>
        </w:rPr>
      </w:pPr>
      <w:r>
        <w:rPr>
          <w:rFonts w:ascii="Arial" w:cs="Arial" w:eastAsia="Arial" w:hAnsi="Arial"/>
          <w:sz w:val="16"/>
          <w:szCs w:val="16"/>
          <w:color w:val="auto"/>
        </w:rPr>
        <w:t xml:space="preserve">Additionally, the Company will reimburse you for the expenses of an annual comprehensive physical exam when coordinated by the Executive Health Services team at Mass. General Hospital (MGH). The combined annual reimbursement you are eligible to receive is $7,500 per calendar year (January 1 - December 31), subject to the guidelines of the Tax </w:t>
      </w:r>
      <w:r>
        <w:rPr>
          <w:rFonts w:ascii="Arial" w:cs="Arial" w:eastAsia="Arial" w:hAnsi="Arial"/>
          <w:sz w:val="14"/>
          <w:szCs w:val="14"/>
          <w:color w:val="auto"/>
        </w:rPr>
        <w:t>&amp;</w:t>
      </w:r>
      <w:r>
        <w:rPr>
          <w:rFonts w:ascii="Arial" w:cs="Arial" w:eastAsia="Arial" w:hAnsi="Arial"/>
          <w:sz w:val="16"/>
          <w:szCs w:val="16"/>
          <w:color w:val="auto"/>
        </w:rPr>
        <w:t xml:space="preserve"> Financial Planning and Executive Physical Reimbursement Program. The details of these benefits are available upon your employment with the Company.</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64AFE8"/>
        </w:rPr>
        <w:t>225 B11mey Street, Cambridge</w:t>
      </w:r>
      <w:r>
        <w:rPr>
          <w:rFonts w:ascii="Arial" w:cs="Arial" w:eastAsia="Arial" w:hAnsi="Arial"/>
          <w:sz w:val="13"/>
          <w:szCs w:val="13"/>
          <w:color w:val="8EAED1"/>
        </w:rPr>
        <w:t>,</w:t>
      </w:r>
      <w:r>
        <w:rPr>
          <w:rFonts w:ascii="Arial" w:cs="Arial" w:eastAsia="Arial" w:hAnsi="Arial"/>
          <w:sz w:val="13"/>
          <w:szCs w:val="13"/>
          <w:color w:val="64AFE8"/>
        </w:rPr>
        <w:t xml:space="preserve"> </w:t>
      </w:r>
      <w:r>
        <w:rPr>
          <w:rFonts w:ascii="Arial" w:cs="Arial" w:eastAsia="Arial" w:hAnsi="Arial"/>
          <w:sz w:val="14"/>
          <w:szCs w:val="14"/>
          <w:b w:val="1"/>
          <w:bCs w:val="1"/>
          <w:color w:val="64AFE8"/>
        </w:rPr>
        <w:t>MA</w:t>
      </w:r>
      <w:r>
        <w:rPr>
          <w:rFonts w:ascii="Arial" w:cs="Arial" w:eastAsia="Arial" w:hAnsi="Arial"/>
          <w:sz w:val="13"/>
          <w:szCs w:val="13"/>
          <w:color w:val="64AFE8"/>
        </w:rPr>
        <w:t xml:space="preserve"> 02142 • Phone 781-464-2000 • www.biogen</w:t>
      </w:r>
      <w:r>
        <w:rPr>
          <w:rFonts w:ascii="Arial" w:cs="Arial" w:eastAsia="Arial" w:hAnsi="Arial"/>
          <w:sz w:val="13"/>
          <w:szCs w:val="13"/>
          <w:color w:val="90CFF2"/>
        </w:rPr>
        <w:t>.</w:t>
      </w:r>
      <w:r>
        <w:rPr>
          <w:rFonts w:ascii="Arial" w:cs="Arial" w:eastAsia="Arial" w:hAnsi="Arial"/>
          <w:sz w:val="13"/>
          <w:szCs w:val="13"/>
          <w:color w:val="64AFE8"/>
        </w:rPr>
        <w:t>com</w:t>
      </w:r>
    </w:p>
    <w:p>
      <w:pPr>
        <w:sectPr>
          <w:pgSz w:w="11900" w:h="17038" w:orient="portrait"/>
          <w:cols w:equalWidth="0" w:num="1">
            <w:col w:w="11120"/>
          </w:cols>
          <w:pgMar w:left="320" w:top="0"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45"/>
          <w:szCs w:val="45"/>
          <w:b w:val="1"/>
          <w:bCs w:val="1"/>
          <w:color w:val="2D97ED"/>
        </w:rPr>
        <w:t>Biogen</w:t>
      </w:r>
    </w:p>
    <w:p>
      <w:pPr>
        <w:sectPr>
          <w:pgSz w:w="11900" w:h="17038" w:orient="portrait"/>
          <w:cols w:equalWidth="0" w:num="1">
            <w:col w:w="11120"/>
          </w:cols>
          <w:pgMar w:left="320" w:top="0" w:right="459" w:bottom="0" w:gutter="0" w:footer="0" w:header="0"/>
          <w:type w:val="continuous"/>
        </w:sectPr>
      </w:pPr>
    </w:p>
    <w:bookmarkStart w:id="204" w:name="page205"/>
    <w:bookmarkEnd w:id="204"/>
    <w:p>
      <w:pPr>
        <w:spacing w:after="0" w:line="200" w:lineRule="exact"/>
        <w:rPr>
          <w:sz w:val="20"/>
          <w:szCs w:val="20"/>
          <w:color w:val="auto"/>
        </w:rPr>
      </w:pPr>
    </w:p>
    <w:p>
      <w:pPr>
        <w:spacing w:after="0" w:line="202" w:lineRule="auto"/>
        <w:rPr>
          <w:sz w:val="20"/>
          <w:szCs w:val="20"/>
          <w:color w:val="auto"/>
        </w:rPr>
      </w:pPr>
      <w:r>
        <w:rPr>
          <w:rFonts w:ascii="Arial" w:cs="Arial" w:eastAsia="Arial" w:hAnsi="Arial"/>
          <w:sz w:val="45"/>
          <w:szCs w:val="45"/>
          <w:b w:val="1"/>
          <w:bCs w:val="1"/>
          <w:color w:val="2D97ED"/>
        </w:rPr>
        <w:t>Biogen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firstLine="14"/>
        <w:spacing w:after="0" w:line="272" w:lineRule="auto"/>
        <w:rPr>
          <w:sz w:val="20"/>
          <w:szCs w:val="20"/>
          <w:color w:val="auto"/>
        </w:rPr>
      </w:pPr>
      <w:r>
        <w:rPr>
          <w:rFonts w:ascii="Arial" w:cs="Arial" w:eastAsia="Arial" w:hAnsi="Arial"/>
          <w:sz w:val="16"/>
          <w:szCs w:val="16"/>
          <w:b w:val="1"/>
          <w:bCs w:val="1"/>
          <w:color w:val="auto"/>
        </w:rPr>
        <w:t xml:space="preserve">Stock Trading Plan: </w:t>
      </w:r>
      <w:r>
        <w:rPr>
          <w:rFonts w:ascii="Arial" w:cs="Arial" w:eastAsia="Arial" w:hAnsi="Arial"/>
          <w:sz w:val="16"/>
          <w:szCs w:val="16"/>
          <w:color w:val="auto"/>
        </w:rPr>
        <w:t>Upon employment with the Company , you will become subject to Biogen's Global Insider Trading Policy, a copy of which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to you. The Biogen Global Insider Trading Policy sets forth guidelines designed to promote compliance with applicable federal and state securities laws that prohibit persons who are aware of material nonpublic information about the company from trading in securities of the company or providing material nonpublic information to other persons who may trade on the basis of that information. Upon your employment, you will be assigned, based on your job, to a specific trading group that will determine your obligations and restrictions under the policy, and you will be required to complete training on the policy.</w:t>
      </w:r>
    </w:p>
    <w:p>
      <w:pPr>
        <w:spacing w:after="0" w:line="207" w:lineRule="exact"/>
        <w:rPr>
          <w:sz w:val="20"/>
          <w:szCs w:val="20"/>
          <w:color w:val="auto"/>
        </w:rPr>
      </w:pPr>
    </w:p>
    <w:p>
      <w:pPr>
        <w:ind w:left="360" w:right="280" w:firstLine="4"/>
        <w:spacing w:after="0" w:line="284" w:lineRule="auto"/>
        <w:rPr>
          <w:sz w:val="20"/>
          <w:szCs w:val="20"/>
          <w:color w:val="auto"/>
        </w:rPr>
      </w:pPr>
      <w:r>
        <w:rPr>
          <w:rFonts w:ascii="Arial" w:cs="Arial" w:eastAsia="Arial" w:hAnsi="Arial"/>
          <w:sz w:val="16"/>
          <w:szCs w:val="16"/>
          <w:b w:val="1"/>
          <w:bCs w:val="1"/>
          <w:color w:val="auto"/>
        </w:rPr>
        <w:t xml:space="preserve">Share Ownership Requirement: </w:t>
      </w:r>
      <w:r>
        <w:rPr>
          <w:rFonts w:ascii="Arial" w:cs="Arial" w:eastAsia="Arial" w:hAnsi="Arial"/>
          <w:sz w:val="16"/>
          <w:szCs w:val="16"/>
          <w:color w:val="auto"/>
        </w:rPr>
        <w:t>A key objective of our long-term incentive plans is to ensure strong alignment between the interests of our senior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and those of our stockholders. It is expected that through our annual long-term incentive grants, you will accumulate and retain Biogen shares in an amount equivalent to 3x salary through the first 5 years of employment.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You are required to satisfy the following contingencies prior to employment at Biogen.</w:t>
      </w:r>
    </w:p>
    <w:p>
      <w:pPr>
        <w:spacing w:after="0" w:line="262" w:lineRule="exact"/>
        <w:rPr>
          <w:sz w:val="20"/>
          <w:szCs w:val="20"/>
          <w:color w:val="auto"/>
        </w:rPr>
      </w:pPr>
    </w:p>
    <w:p>
      <w:pPr>
        <w:ind w:left="1000" w:right="440" w:hanging="314"/>
        <w:spacing w:after="0" w:line="272" w:lineRule="auto"/>
        <w:tabs>
          <w:tab w:leader="none" w:pos="988"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Pre-employment screening: </w:t>
      </w:r>
      <w:r>
        <w:rPr>
          <w:rFonts w:ascii="Arial" w:cs="Arial" w:eastAsia="Arial" w:hAnsi="Arial"/>
          <w:sz w:val="16"/>
          <w:szCs w:val="16"/>
          <w:color w:val="auto"/>
        </w:rPr>
        <w:t>Employment at Biogen is contingent upon your successful completion and passing of both a background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check and drug screen. Biogen's background check includes verificat ion of employment history, educational and professional licenses, degrees and/or credentials , a criminal records check, a Social Security Number search and verification of any other professional qualifications that your position responsibilities at Biogen may warrant. Completion of your online Application for Employment authorizes Biogen to conduct these background checks. If you have any questions about the background check, please contact </w:t>
      </w:r>
      <w:r>
        <w:rPr>
          <w:rFonts w:ascii="Arial" w:cs="Arial" w:eastAsia="Arial" w:hAnsi="Arial"/>
          <w:sz w:val="16"/>
          <w:szCs w:val="16"/>
          <w:u w:val="single" w:color="auto"/>
          <w:color w:val="auto"/>
        </w:rPr>
        <w:t>HRConnect@biogen.com</w:t>
      </w:r>
      <w:r>
        <w:rPr>
          <w:rFonts w:ascii="Arial" w:cs="Arial" w:eastAsia="Arial" w:hAnsi="Arial"/>
          <w:sz w:val="16"/>
          <w:szCs w:val="16"/>
          <w:color w:val="auto"/>
        </w:rPr>
        <w:t>.</w:t>
      </w:r>
    </w:p>
    <w:p>
      <w:pPr>
        <w:spacing w:after="0" w:line="206" w:lineRule="exact"/>
        <w:rPr>
          <w:rFonts w:ascii="Arial" w:cs="Arial" w:eastAsia="Arial" w:hAnsi="Arial"/>
          <w:sz w:val="16"/>
          <w:szCs w:val="16"/>
          <w:color w:val="auto"/>
        </w:rPr>
      </w:pPr>
    </w:p>
    <w:p>
      <w:pPr>
        <w:jc w:val="both"/>
        <w:ind w:left="1000" w:right="20" w:hanging="315"/>
        <w:spacing w:after="0" w:line="256" w:lineRule="auto"/>
        <w:tabs>
          <w:tab w:leader="none" w:pos="990"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Signed Employee Proprietary Information and Inventions and Non-Compete Agreement ("PII Agreement"): </w:t>
      </w:r>
      <w:r>
        <w:rPr>
          <w:rFonts w:ascii="Arial" w:cs="Arial" w:eastAsia="Arial" w:hAnsi="Arial"/>
          <w:sz w:val="16"/>
          <w:szCs w:val="16"/>
          <w:color w:val="auto"/>
        </w:rPr>
        <w:t>Prior to and as a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employment with Biogen you will be required to sign Biogen's PII Agreement. This is required to, among other things, protect Biogen's substantial investment in creating and maintaining its confidential and proprietary information, and to maintain goodwill with our customers , vendors and other business partners. You will receive an email shortly that contains a link to this agreement for your review and electronic signature .</w:t>
      </w:r>
    </w:p>
    <w:p>
      <w:pPr>
        <w:spacing w:after="0" w:line="206" w:lineRule="exact"/>
        <w:rPr>
          <w:rFonts w:ascii="Arial" w:cs="Arial" w:eastAsia="Arial" w:hAnsi="Arial"/>
          <w:sz w:val="16"/>
          <w:szCs w:val="16"/>
          <w:color w:val="auto"/>
        </w:rPr>
      </w:pPr>
    </w:p>
    <w:p>
      <w:pPr>
        <w:ind w:left="1000" w:right="420" w:hanging="324"/>
        <w:spacing w:after="0" w:line="304" w:lineRule="auto"/>
        <w:tabs>
          <w:tab w:leader="none" w:pos="996"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Authorization to Work in the United States: </w:t>
      </w:r>
      <w:r>
        <w:rPr>
          <w:rFonts w:ascii="Arial" w:cs="Arial" w:eastAsia="Arial" w:hAnsi="Arial"/>
          <w:sz w:val="16"/>
          <w:szCs w:val="16"/>
          <w:color w:val="auto"/>
        </w:rPr>
        <w:t>Please note that Biogen is an E-Verify employer. The Federal government requires you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proper identi fication verifying your eligibility to work in the United States.</w:t>
      </w:r>
    </w:p>
    <w:p>
      <w:pPr>
        <w:spacing w:after="0" w:line="195" w:lineRule="exact"/>
        <w:rPr>
          <w:rFonts w:ascii="Arial" w:cs="Arial" w:eastAsia="Arial" w:hAnsi="Arial"/>
          <w:sz w:val="16"/>
          <w:szCs w:val="16"/>
          <w:color w:val="auto"/>
        </w:rPr>
      </w:pPr>
    </w:p>
    <w:p>
      <w:pPr>
        <w:ind w:left="1000" w:right="740" w:firstLine="2"/>
        <w:spacing w:after="0" w:line="272" w:lineRule="auto"/>
        <w:rPr>
          <w:rFonts w:ascii="Arial" w:cs="Arial" w:eastAsia="Arial" w:hAnsi="Arial"/>
          <w:sz w:val="16"/>
          <w:szCs w:val="16"/>
          <w:color w:val="auto"/>
        </w:rPr>
      </w:pPr>
      <w:r>
        <w:rPr>
          <w:rFonts w:ascii="Arial" w:cs="Arial" w:eastAsia="Arial" w:hAnsi="Arial"/>
          <w:sz w:val="16"/>
          <w:szCs w:val="16"/>
          <w:b w:val="1"/>
          <w:bCs w:val="1"/>
          <w:color w:val="auto"/>
        </w:rPr>
        <w:t xml:space="preserve">If you will be working at one of our office locations: </w:t>
      </w:r>
      <w:r>
        <w:rPr>
          <w:rFonts w:ascii="Arial" w:cs="Arial" w:eastAsia="Arial" w:hAnsi="Arial"/>
          <w:sz w:val="16"/>
          <w:szCs w:val="16"/>
          <w:color w:val="auto"/>
        </w:rPr>
        <w:t>Please complete Section 1 of the Employment Eligibility Verification Form 1-9, electronically as specified in your emails from</w:t>
      </w:r>
    </w:p>
    <w:p>
      <w:pPr>
        <w:ind w:left="980" w:right="420" w:firstLine="2"/>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Guardian. </w:t>
      </w:r>
      <w:r>
        <w:rPr>
          <w:rFonts w:ascii="Arial" w:cs="Arial" w:eastAsia="Arial" w:hAnsi="Arial"/>
          <w:sz w:val="16"/>
          <w:szCs w:val="16"/>
          <w:b w:val="1"/>
          <w:bCs w:val="1"/>
          <w:u w:val="single" w:color="auto"/>
          <w:color w:val="auto"/>
        </w:rPr>
        <w:t>On your first day of employment,</w:t>
      </w:r>
      <w:r>
        <w:rPr>
          <w:rFonts w:ascii="Arial" w:cs="Arial" w:eastAsia="Arial" w:hAnsi="Arial"/>
          <w:sz w:val="16"/>
          <w:szCs w:val="16"/>
          <w:color w:val="auto"/>
        </w:rPr>
        <w:t xml:space="preserve"> please bring original and unexpired documents and a scanned copy of your documents to complete the 1-9 process. A list of acceptable documents can be found on the last page of the Form 1-9 packet.</w:t>
      </w:r>
    </w:p>
    <w:p>
      <w:pPr>
        <w:spacing w:after="0" w:line="288" w:lineRule="exact"/>
        <w:rPr>
          <w:rFonts w:ascii="Arial" w:cs="Arial" w:eastAsia="Arial" w:hAnsi="Arial"/>
          <w:sz w:val="16"/>
          <w:szCs w:val="16"/>
          <w:color w:val="auto"/>
        </w:rPr>
      </w:pPr>
    </w:p>
    <w:p>
      <w:pPr>
        <w:ind w:left="980" w:right="60" w:firstLine="8"/>
        <w:spacing w:after="0" w:line="321" w:lineRule="auto"/>
        <w:rPr>
          <w:rFonts w:ascii="Arial" w:cs="Arial" w:eastAsia="Arial" w:hAnsi="Arial"/>
          <w:sz w:val="16"/>
          <w:szCs w:val="16"/>
          <w:color w:val="auto"/>
        </w:rPr>
      </w:pPr>
      <w:r>
        <w:rPr>
          <w:rFonts w:ascii="Arial" w:cs="Arial" w:eastAsia="Arial" w:hAnsi="Arial"/>
          <w:sz w:val="16"/>
          <w:szCs w:val="16"/>
          <w:b w:val="1"/>
          <w:bCs w:val="1"/>
          <w:color w:val="auto"/>
        </w:rPr>
        <w:t xml:space="preserve">If you are a field employee: </w:t>
      </w:r>
      <w:r>
        <w:rPr>
          <w:rFonts w:ascii="Arial" w:cs="Arial" w:eastAsia="Arial" w:hAnsi="Arial"/>
          <w:sz w:val="16"/>
          <w:szCs w:val="16"/>
          <w:color w:val="auto"/>
        </w:rPr>
        <w:t>You will receive a separate email from HR Operations providing you with instructions to complete your 1-9 form.</w:t>
      </w:r>
      <w:r>
        <w:rPr>
          <w:rFonts w:ascii="Arial" w:cs="Arial" w:eastAsia="Arial" w:hAnsi="Arial"/>
          <w:sz w:val="16"/>
          <w:szCs w:val="16"/>
          <w:b w:val="1"/>
          <w:bCs w:val="1"/>
          <w:color w:val="auto"/>
        </w:rPr>
        <w:t xml:space="preserve"> </w:t>
      </w:r>
      <w:r>
        <w:rPr>
          <w:rFonts w:ascii="Arial" w:cs="Arial" w:eastAsia="Arial" w:hAnsi="Arial"/>
          <w:sz w:val="16"/>
          <w:szCs w:val="16"/>
          <w:color w:val="auto"/>
        </w:rPr>
        <w:t>Please complete per instructions with in 3 days of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6EB6EB"/>
        </w:rPr>
        <w:t>225 Binney St</w:t>
      </w:r>
      <w:r>
        <w:rPr>
          <w:rFonts w:ascii="Arial" w:cs="Arial" w:eastAsia="Arial" w:hAnsi="Arial"/>
          <w:sz w:val="13"/>
          <w:szCs w:val="13"/>
          <w:color w:val="4DA5E8"/>
        </w:rPr>
        <w:t>r</w:t>
      </w:r>
      <w:r>
        <w:rPr>
          <w:rFonts w:ascii="Arial" w:cs="Arial" w:eastAsia="Arial" w:hAnsi="Arial"/>
          <w:sz w:val="13"/>
          <w:szCs w:val="13"/>
          <w:color w:val="6EB6EB"/>
        </w:rPr>
        <w:t>ee</w:t>
      </w:r>
      <w:r>
        <w:rPr>
          <w:rFonts w:ascii="Arial" w:cs="Arial" w:eastAsia="Arial" w:hAnsi="Arial"/>
          <w:sz w:val="13"/>
          <w:szCs w:val="13"/>
          <w:color w:val="4DA5E8"/>
        </w:rPr>
        <w:t>t</w:t>
      </w:r>
      <w:r>
        <w:rPr>
          <w:rFonts w:ascii="Arial" w:cs="Arial" w:eastAsia="Arial" w:hAnsi="Arial"/>
          <w:sz w:val="13"/>
          <w:szCs w:val="13"/>
          <w:color w:val="8CC3E9"/>
        </w:rPr>
        <w:t>,</w:t>
      </w:r>
      <w:r>
        <w:rPr>
          <w:rFonts w:ascii="Arial" w:cs="Arial" w:eastAsia="Arial" w:hAnsi="Arial"/>
          <w:sz w:val="13"/>
          <w:szCs w:val="13"/>
          <w:color w:val="6EB6EB"/>
        </w:rPr>
        <w:t xml:space="preserve"> Cambridg </w:t>
      </w:r>
      <w:r>
        <w:rPr>
          <w:rFonts w:ascii="Arial" w:cs="Arial" w:eastAsia="Arial" w:hAnsi="Arial"/>
          <w:sz w:val="13"/>
          <w:szCs w:val="13"/>
          <w:color w:val="8CC3E9"/>
        </w:rPr>
        <w:t>e</w:t>
      </w:r>
      <w:r>
        <w:rPr>
          <w:rFonts w:ascii="Arial" w:cs="Arial" w:eastAsia="Arial" w:hAnsi="Arial"/>
          <w:sz w:val="13"/>
          <w:szCs w:val="13"/>
          <w:color w:val="6EB6EB"/>
        </w:rPr>
        <w:t>, MA 02</w:t>
      </w:r>
      <w:r>
        <w:rPr>
          <w:rFonts w:ascii="Arial" w:cs="Arial" w:eastAsia="Arial" w:hAnsi="Arial"/>
          <w:sz w:val="13"/>
          <w:szCs w:val="13"/>
          <w:color w:val="BAC8E4"/>
        </w:rPr>
        <w:t>·</w:t>
      </w:r>
      <w:r>
        <w:rPr>
          <w:rFonts w:ascii="Arial" w:cs="Arial" w:eastAsia="Arial" w:hAnsi="Arial"/>
          <w:sz w:val="13"/>
          <w:szCs w:val="13"/>
          <w:color w:val="4DA5E8"/>
        </w:rPr>
        <w:t>1</w:t>
      </w:r>
      <w:r>
        <w:rPr>
          <w:rFonts w:ascii="Arial" w:cs="Arial" w:eastAsia="Arial" w:hAnsi="Arial"/>
          <w:sz w:val="13"/>
          <w:szCs w:val="13"/>
          <w:color w:val="6EB6EB"/>
        </w:rPr>
        <w:t xml:space="preserve"> 4</w:t>
      </w:r>
      <w:r>
        <w:rPr>
          <w:rFonts w:ascii="Arial" w:cs="Arial" w:eastAsia="Arial" w:hAnsi="Arial"/>
          <w:sz w:val="13"/>
          <w:szCs w:val="13"/>
          <w:color w:val="8CC3E9"/>
        </w:rPr>
        <w:t>2</w:t>
      </w:r>
      <w:r>
        <w:rPr>
          <w:rFonts w:ascii="Arial" w:cs="Arial" w:eastAsia="Arial" w:hAnsi="Arial"/>
          <w:sz w:val="13"/>
          <w:szCs w:val="13"/>
          <w:color w:val="6EB6EB"/>
        </w:rPr>
        <w:t xml:space="preserve"> </w:t>
      </w:r>
      <w:r>
        <w:rPr>
          <w:rFonts w:ascii="Arial" w:cs="Arial" w:eastAsia="Arial" w:hAnsi="Arial"/>
          <w:sz w:val="13"/>
          <w:szCs w:val="13"/>
          <w:color w:val="4DA5E8"/>
        </w:rPr>
        <w:t>•</w:t>
      </w:r>
      <w:r>
        <w:rPr>
          <w:rFonts w:ascii="Arial" w:cs="Arial" w:eastAsia="Arial" w:hAnsi="Arial"/>
          <w:sz w:val="13"/>
          <w:szCs w:val="13"/>
          <w:color w:val="6EB6EB"/>
        </w:rPr>
        <w:t xml:space="preserve"> Phone 781-464 </w:t>
      </w:r>
      <w:r>
        <w:rPr>
          <w:rFonts w:ascii="Arial" w:cs="Arial" w:eastAsia="Arial" w:hAnsi="Arial"/>
          <w:sz w:val="13"/>
          <w:szCs w:val="13"/>
          <w:color w:val="BAC8E4"/>
        </w:rPr>
        <w:t>-</w:t>
      </w:r>
      <w:r>
        <w:rPr>
          <w:rFonts w:ascii="Arial" w:cs="Arial" w:eastAsia="Arial" w:hAnsi="Arial"/>
          <w:sz w:val="13"/>
          <w:szCs w:val="13"/>
          <w:color w:val="6EB6EB"/>
        </w:rPr>
        <w:t xml:space="preserve">2000 • www.biogen </w:t>
      </w:r>
      <w:r>
        <w:rPr>
          <w:rFonts w:ascii="Arial" w:cs="Arial" w:eastAsia="Arial" w:hAnsi="Arial"/>
          <w:sz w:val="13"/>
          <w:szCs w:val="13"/>
          <w:color w:val="8CC3E9"/>
        </w:rPr>
        <w:t>.</w:t>
      </w:r>
      <w:r>
        <w:rPr>
          <w:rFonts w:ascii="Arial" w:cs="Arial" w:eastAsia="Arial" w:hAnsi="Arial"/>
          <w:sz w:val="13"/>
          <w:szCs w:val="13"/>
          <w:color w:val="6EB6EB"/>
        </w:rPr>
        <w:t>corn</w:t>
      </w:r>
    </w:p>
    <w:p>
      <w:pPr>
        <w:sectPr>
          <w:pgSz w:w="11900" w:h="17038" w:orient="portrait"/>
          <w:cols w:equalWidth="0" w:num="1">
            <w:col w:w="11160"/>
          </w:cols>
          <w:pgMar w:left="320" w:top="0"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5"/>
          <w:szCs w:val="45"/>
          <w:b w:val="1"/>
          <w:bCs w:val="1"/>
          <w:color w:val="2B97ED"/>
        </w:rPr>
        <w:t>Biogen</w:t>
      </w:r>
    </w:p>
    <w:p>
      <w:pPr>
        <w:sectPr>
          <w:pgSz w:w="11900" w:h="17038" w:orient="portrait"/>
          <w:cols w:equalWidth="0" w:num="1">
            <w:col w:w="11160"/>
          </w:cols>
          <w:pgMar w:left="320" w:top="0" w:right="419" w:bottom="0" w:gutter="0" w:footer="0" w:header="0"/>
          <w:type w:val="continuous"/>
        </w:sectPr>
      </w:pPr>
    </w:p>
    <w:bookmarkStart w:id="205" w:name="page206"/>
    <w:bookmarkEnd w:id="205"/>
    <w:p>
      <w:pPr>
        <w:spacing w:after="0" w:line="202" w:lineRule="auto"/>
        <w:rPr>
          <w:sz w:val="20"/>
          <w:szCs w:val="20"/>
          <w:color w:val="auto"/>
        </w:rPr>
      </w:pPr>
      <w:r>
        <w:rPr>
          <w:rFonts w:ascii="Arial" w:cs="Arial" w:eastAsia="Arial" w:hAnsi="Arial"/>
          <w:sz w:val="45"/>
          <w:szCs w:val="45"/>
          <w:b w:val="1"/>
          <w:bCs w:val="1"/>
          <w:color w:val="2B97ED"/>
        </w:rPr>
        <w:t>Biogen</w:t>
      </w:r>
      <w:r>
        <w:rPr>
          <w:rFonts w:ascii="Arial" w:cs="Arial" w:eastAsia="Arial" w:hAnsi="Arial"/>
          <w:sz w:val="45"/>
          <w:szCs w:val="45"/>
          <w:b w:val="1"/>
          <w:bCs w:val="1"/>
          <w:color w:val="8ECCE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 xml:space="preserve">Chirti, we are excited at the prospect of your joining Biogen. To confirm your acceptance of this offer of employment, please sign and return this letter by October 15, 2017 and keep the other copy for your records. We would anticipate your first day of employment to </w:t>
      </w:r>
      <w:r>
        <w:rPr>
          <w:rFonts w:ascii="Arial" w:cs="Arial" w:eastAsia="Arial" w:hAnsi="Arial"/>
          <w:sz w:val="16"/>
          <w:szCs w:val="16"/>
          <w:u w:val="single" w:color="auto"/>
          <w:color w:val="auto"/>
        </w:rPr>
        <w:t>be November 1, 2017</w:t>
      </w:r>
      <w:r>
        <w:rPr>
          <w:rFonts w:ascii="Arial" w:cs="Arial" w:eastAsia="Arial" w:hAnsi="Arial"/>
          <w:sz w:val="16"/>
          <w:szCs w:val="16"/>
          <w:color w:val="auto"/>
        </w:rPr>
        <w:t>. If you have any questions , please feel free to contact me.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Best Regards,</w:t>
      </w:r>
    </w:p>
    <w:p>
      <w:pPr>
        <w:spacing w:after="0" w:line="2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 Ginger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wp:posOffset>
            </wp:positionV>
            <wp:extent cx="9601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Ginger Gregory</w:t>
      </w:r>
    </w:p>
    <w:p>
      <w:pPr>
        <w:spacing w:after="0" w:line="3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EVP, Human Resources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Cc: Michel Vounatsos</w:t>
      </w: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accept this offer of employment and acknowledge the contingencies of employment described above, including the at-will nature of my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 Chirfi Guindo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965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4">
                      <a:extLst>
                        <a:ext uri="{28A0092B-C50C-407E-A947-70E740481C1C}"/>
                      </a:extLst>
                    </a:blip>
                    <a:srcRect/>
                    <a:stretch>
                      <a:fillRect/>
                    </a:stretch>
                  </pic:blipFill>
                  <pic:spPr bwMode="auto">
                    <a:xfrm>
                      <a:off x="0" y="0"/>
                      <a:ext cx="96583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74B8E9"/>
        </w:rPr>
        <w:t xml:space="preserve">225 Binney Street. Cambridge, </w:t>
      </w:r>
      <w:r>
        <w:rPr>
          <w:rFonts w:ascii="Arial" w:cs="Arial" w:eastAsia="Arial" w:hAnsi="Arial"/>
          <w:sz w:val="14"/>
          <w:szCs w:val="14"/>
          <w:b w:val="1"/>
          <w:bCs w:val="1"/>
          <w:color w:val="5DACE8"/>
        </w:rPr>
        <w:t>MA</w:t>
      </w:r>
      <w:r>
        <w:rPr>
          <w:rFonts w:ascii="Arial" w:cs="Arial" w:eastAsia="Arial" w:hAnsi="Arial"/>
          <w:sz w:val="13"/>
          <w:szCs w:val="13"/>
          <w:color w:val="74B8E9"/>
        </w:rPr>
        <w:t xml:space="preserve"> 02142 </w:t>
      </w:r>
      <w:r>
        <w:rPr>
          <w:rFonts w:ascii="Arial" w:cs="Arial" w:eastAsia="Arial" w:hAnsi="Arial"/>
          <w:sz w:val="13"/>
          <w:szCs w:val="13"/>
          <w:color w:val="5DACE8"/>
        </w:rPr>
        <w:t>•</w:t>
      </w:r>
      <w:r>
        <w:rPr>
          <w:rFonts w:ascii="Arial" w:cs="Arial" w:eastAsia="Arial" w:hAnsi="Arial"/>
          <w:sz w:val="13"/>
          <w:szCs w:val="13"/>
          <w:color w:val="74B8E9"/>
        </w:rPr>
        <w:t xml:space="preserve"> Phone 781 </w:t>
      </w:r>
      <w:r>
        <w:rPr>
          <w:rFonts w:ascii="Arial" w:cs="Arial" w:eastAsia="Arial" w:hAnsi="Arial"/>
          <w:sz w:val="13"/>
          <w:szCs w:val="13"/>
          <w:color w:val="8ECCE8"/>
        </w:rPr>
        <w:t>-</w:t>
      </w:r>
      <w:r>
        <w:rPr>
          <w:rFonts w:ascii="Arial" w:cs="Arial" w:eastAsia="Arial" w:hAnsi="Arial"/>
          <w:sz w:val="13"/>
          <w:szCs w:val="13"/>
          <w:color w:val="74B8E9"/>
        </w:rPr>
        <w:t>464</w:t>
      </w:r>
      <w:r>
        <w:rPr>
          <w:rFonts w:ascii="Arial" w:cs="Arial" w:eastAsia="Arial" w:hAnsi="Arial"/>
          <w:sz w:val="13"/>
          <w:szCs w:val="13"/>
          <w:color w:val="A8B8D8"/>
        </w:rPr>
        <w:t>-</w:t>
      </w:r>
      <w:r>
        <w:rPr>
          <w:rFonts w:ascii="Arial" w:cs="Arial" w:eastAsia="Arial" w:hAnsi="Arial"/>
          <w:sz w:val="13"/>
          <w:szCs w:val="13"/>
          <w:color w:val="74B8E9"/>
        </w:rPr>
        <w:t xml:space="preserve">2000 </w:t>
      </w:r>
      <w:r>
        <w:rPr>
          <w:rFonts w:ascii="Arial" w:cs="Arial" w:eastAsia="Arial" w:hAnsi="Arial"/>
          <w:sz w:val="13"/>
          <w:szCs w:val="13"/>
          <w:color w:val="5DACE8"/>
        </w:rPr>
        <w:t>• www.biogen.com</w:t>
      </w:r>
    </w:p>
    <w:p>
      <w:pPr>
        <w:sectPr>
          <w:pgSz w:w="11900" w:h="16838" w:orient="portrait"/>
          <w:cols w:equalWidth="0" w:num="1">
            <w:col w:w="11060"/>
          </w:cols>
          <w:pgMar w:left="320" w:top="0" w:right="51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t>Guindo, Chirfi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Domestic Relocation Addendum</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October 10, 2017</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Supplemental Relocation Benefits</w:t>
      </w:r>
    </w:p>
    <w:p>
      <w:pPr>
        <w:spacing w:after="0" w:line="256"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In addition to the benefits provided to you pursuant to the U.S. Domestic Relocation Policy, Executive Level, (the "Policy"), Biogen will supplement those benefits as described, and in accordance with, the terms below ("Supplemental Relocation Benefits") .</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Relocation Terms</w:t>
      </w:r>
    </w:p>
    <w:p>
      <w:pPr>
        <w:spacing w:after="0" w:line="22" w:lineRule="exact"/>
        <w:rPr>
          <w:sz w:val="20"/>
          <w:szCs w:val="20"/>
          <w:color w:val="auto"/>
        </w:rPr>
      </w:pPr>
    </w:p>
    <w:p>
      <w:pPr>
        <w:jc w:val="both"/>
        <w:ind w:firstLine="5"/>
        <w:spacing w:after="0" w:line="258" w:lineRule="auto"/>
        <w:rPr>
          <w:sz w:val="20"/>
          <w:szCs w:val="20"/>
          <w:color w:val="auto"/>
        </w:rPr>
      </w:pPr>
      <w:r>
        <w:rPr>
          <w:rFonts w:ascii="Arial" w:cs="Arial" w:eastAsia="Arial" w:hAnsi="Arial"/>
          <w:sz w:val="16"/>
          <w:szCs w:val="16"/>
          <w:color w:val="auto"/>
        </w:rPr>
        <w:t>Please note that these Supplemental Relocation Benefits are contingent on you moving to the Boston, MA area within one (2) years from the date you start your new position ("Effective Date of Transfer"), and by signing and returning the Biogen Relocation Repayment Agreement. The standard relocation timeline is being extended by one (1) year to accommodate your son's completion of all high school requirements.</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Expatriate Housing</w:t>
      </w:r>
    </w:p>
    <w:p>
      <w:pPr>
        <w:spacing w:after="0" w:line="22" w:lineRule="exact"/>
        <w:rPr>
          <w:sz w:val="20"/>
          <w:szCs w:val="20"/>
          <w:color w:val="auto"/>
        </w:rPr>
      </w:pPr>
    </w:p>
    <w:p>
      <w:pPr>
        <w:jc w:val="both"/>
        <w:ind w:firstLine="1"/>
        <w:spacing w:after="0" w:line="258" w:lineRule="auto"/>
        <w:rPr>
          <w:sz w:val="20"/>
          <w:szCs w:val="20"/>
          <w:color w:val="auto"/>
        </w:rPr>
      </w:pPr>
      <w:r>
        <w:rPr>
          <w:rFonts w:ascii="Arial" w:cs="Arial" w:eastAsia="Arial" w:hAnsi="Arial"/>
          <w:sz w:val="16"/>
          <w:szCs w:val="16"/>
          <w:color w:val="auto"/>
        </w:rPr>
        <w:t>In addition to the Temporary /Duplicate Housing and Return Trip provisions as indicated in the Policy, the Company will cover the costs of your expatriate housing in Canada, inclusive of rent of 6,500 CAD per month and utilities up to 250 CAD per month if utilities are not included in your rent. This coverage will be provided for up to ten (10) months. All expenses will be paid or reimbursed through Biogen's Mobility Program.</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Dependent Schooling</w:t>
      </w:r>
    </w:p>
    <w:p>
      <w:pPr>
        <w:spacing w:after="0" w:line="22" w:lineRule="exact"/>
        <w:rPr>
          <w:sz w:val="20"/>
          <w:szCs w:val="20"/>
          <w:color w:val="auto"/>
        </w:rPr>
      </w:pPr>
    </w:p>
    <w:p>
      <w:pPr>
        <w:jc w:val="both"/>
        <w:ind w:firstLine="1"/>
        <w:spacing w:after="0" w:line="270" w:lineRule="auto"/>
        <w:rPr>
          <w:sz w:val="20"/>
          <w:szCs w:val="20"/>
          <w:color w:val="auto"/>
        </w:rPr>
      </w:pPr>
      <w:r>
        <w:rPr>
          <w:rFonts w:ascii="Arial" w:cs="Arial" w:eastAsia="Arial" w:hAnsi="Arial"/>
          <w:sz w:val="16"/>
          <w:szCs w:val="16"/>
          <w:color w:val="auto"/>
        </w:rPr>
        <w:t>The Company will cover the costs of your son's tuition and book fees through the end of the 2017/2018 Canadian school year. All expenses will be paid directly or reimbursed through Biogen's Mobility Program.</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Final Move location</w:t>
      </w:r>
    </w:p>
    <w:p>
      <w:pPr>
        <w:spacing w:after="0" w:line="22" w:lineRule="exact"/>
        <w:rPr>
          <w:sz w:val="20"/>
          <w:szCs w:val="20"/>
          <w:color w:val="auto"/>
        </w:rPr>
      </w:pPr>
    </w:p>
    <w:p>
      <w:pPr>
        <w:jc w:val="both"/>
        <w:ind w:right="20" w:firstLine="3"/>
        <w:spacing w:after="0" w:line="343" w:lineRule="auto"/>
        <w:rPr>
          <w:sz w:val="20"/>
          <w:szCs w:val="20"/>
          <w:color w:val="auto"/>
        </w:rPr>
      </w:pPr>
      <w:r>
        <w:rPr>
          <w:rFonts w:ascii="Arial" w:cs="Arial" w:eastAsia="Arial" w:hAnsi="Arial"/>
          <w:sz w:val="14"/>
          <w:szCs w:val="14"/>
          <w:color w:val="auto"/>
        </w:rPr>
        <w:t>The Company will provide benefits to support your final move from the Montreal, Canada area in addition to the home sale benefits from your primary residence in New Jersey. These final move benefits include, lease cancellation support, final trip expenses (flights or mileage reimbursement) and house hold goods shipment.</w:t>
      </w:r>
    </w:p>
    <w:p>
      <w:pPr>
        <w:spacing w:after="0" w:line="157" w:lineRule="exact"/>
        <w:rPr>
          <w:sz w:val="20"/>
          <w:szCs w:val="20"/>
          <w:color w:val="auto"/>
        </w:rPr>
      </w:pPr>
    </w:p>
    <w:p>
      <w:pPr>
        <w:jc w:val="both"/>
        <w:ind w:firstLine="4"/>
        <w:spacing w:after="0" w:line="310" w:lineRule="auto"/>
        <w:rPr>
          <w:sz w:val="20"/>
          <w:szCs w:val="20"/>
          <w:color w:val="auto"/>
        </w:rPr>
      </w:pPr>
      <w:r>
        <w:rPr>
          <w:rFonts w:ascii="Arial" w:cs="Arial" w:eastAsia="Arial" w:hAnsi="Arial"/>
          <w:sz w:val="15"/>
          <w:szCs w:val="15"/>
          <w:color w:val="auto"/>
        </w:rPr>
        <w:t>Except for the Supplemental Relocation Benefits described above, all other terms of the Policy apply, and the Biogen Relocation Repayment Agreement governs the terms of all relocation benefits provided to you. Furthermore, nothing in this document alters the terms and conditions of your offer .</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My signature below acknowledges that I understand and agree to the terms of this agreement.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Acknowledged and Agreed:</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Chirfi Guindo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90868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Chirfi Guindo</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Oct.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6581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6">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Date</w:t>
      </w:r>
    </w:p>
    <w:p>
      <w:pPr>
        <w:ind w:left="160"/>
        <w:spacing w:after="0"/>
        <w:rPr>
          <w:sz w:val="20"/>
          <w:szCs w:val="20"/>
          <w:color w:val="auto"/>
        </w:rPr>
      </w:pPr>
      <w:r>
        <w:rPr>
          <w:rFonts w:ascii="Arial" w:cs="Arial" w:eastAsia="Arial" w:hAnsi="Arial"/>
          <w:sz w:val="20"/>
          <w:szCs w:val="20"/>
          <w:color w:val="8C6E8C"/>
        </w:rPr>
        <w:t>'</w:t>
      </w:r>
    </w:p>
    <w:p>
      <w:pPr>
        <w:sectPr>
          <w:pgSz w:w="11900" w:h="16838" w:orient="portrait"/>
          <w:cols w:equalWidth="0" w:num="1">
            <w:col w:w="10660"/>
          </w:cols>
          <w:pgMar w:left="560" w:top="1291" w:right="67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BIOGEN INC.</w:t>
      </w:r>
    </w:p>
    <w:p>
      <w:pPr>
        <w:spacing w:after="0" w:line="273" w:lineRule="exact"/>
        <w:rPr>
          <w:sz w:val="20"/>
          <w:szCs w:val="20"/>
          <w:color w:val="auto"/>
        </w:rPr>
      </w:pPr>
    </w:p>
    <w:p>
      <w:pPr>
        <w:ind w:right="600"/>
        <w:spacing w:after="0" w:line="249" w:lineRule="auto"/>
        <w:rPr>
          <w:sz w:val="20"/>
          <w:szCs w:val="20"/>
          <w:color w:val="auto"/>
        </w:rPr>
      </w:pPr>
      <w:r>
        <w:rPr>
          <w:rFonts w:ascii="Arial" w:cs="Arial" w:eastAsia="Arial" w:hAnsi="Arial"/>
          <w:sz w:val="22"/>
          <w:szCs w:val="22"/>
          <w:color w:val="auto"/>
        </w:rPr>
        <w:t>The following is a list of subsidiaries of Biogen Inc. as of December 31, 2020, omitting some subsidiaries which, considered in the aggregate, would not constitute a significant subsidiary.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STATE OR OTHER JURISDICTION OF</w:t>
            </w:r>
          </w:p>
        </w:tc>
      </w:tr>
      <w:tr>
        <w:trPr>
          <w:trHeight w:val="24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1"/>
                <w:szCs w:val="21"/>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Foundation Inc.</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MA Inc.</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Realty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Realty Limited Partnership</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Limited Partnership</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(RTP) Realty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Chesapeake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Holding I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Holding II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Manufacturing Holding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New Ventures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SRO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Therapeutics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Pacific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West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Conforma Therapeutics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Stromedix,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Nightstar,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(Argentina) SRL</w:t>
            </w:r>
          </w:p>
        </w:tc>
        <w:tc>
          <w:tcPr>
            <w:tcW w:w="468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Australia PTY Ltd</w:t>
            </w:r>
          </w:p>
        </w:tc>
        <w:tc>
          <w:tcPr>
            <w:tcW w:w="4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Austria GmbH</w:t>
            </w:r>
          </w:p>
        </w:tc>
        <w:tc>
          <w:tcPr>
            <w:tcW w:w="468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Belgium N.V./S.A.</w:t>
            </w:r>
          </w:p>
        </w:tc>
        <w:tc>
          <w:tcPr>
            <w:tcW w:w="468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International Holding Limited</w:t>
            </w:r>
          </w:p>
        </w:tc>
        <w:tc>
          <w:tcPr>
            <w:tcW w:w="468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(Bermuda) Technologies Ltd.</w:t>
            </w:r>
          </w:p>
        </w:tc>
        <w:tc>
          <w:tcPr>
            <w:tcW w:w="468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Brasil Produtos Farmaceuticos LTDA</w:t>
            </w:r>
          </w:p>
        </w:tc>
        <w:tc>
          <w:tcPr>
            <w:tcW w:w="46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Canada Inc.</w:t>
            </w:r>
          </w:p>
        </w:tc>
        <w:tc>
          <w:tcPr>
            <w:tcW w:w="46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Chile SpA</w:t>
            </w:r>
          </w:p>
        </w:tc>
        <w:tc>
          <w:tcPr>
            <w:tcW w:w="468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Biotechnology (Shanghai) Co., Ltd</w:t>
            </w:r>
          </w:p>
        </w:tc>
        <w:tc>
          <w:tcPr>
            <w:tcW w:w="468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BIIB Colombia S.A.S.</w:t>
            </w:r>
          </w:p>
        </w:tc>
        <w:tc>
          <w:tcPr>
            <w:tcW w:w="468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Pharma d.o.o.</w:t>
            </w:r>
          </w:p>
        </w:tc>
        <w:tc>
          <w:tcPr>
            <w:tcW w:w="468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(Czech Republic) s.r.o.</w:t>
            </w:r>
          </w:p>
        </w:tc>
        <w:tc>
          <w:tcPr>
            <w:tcW w:w="468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(Denmark) A/S</w:t>
            </w:r>
          </w:p>
        </w:tc>
        <w:tc>
          <w:tcPr>
            <w:tcW w:w="468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Estonia OU</w:t>
            </w:r>
          </w:p>
        </w:tc>
        <w:tc>
          <w:tcPr>
            <w:tcW w:w="4680" w:type="dxa"/>
            <w:vAlign w:val="bottom"/>
          </w:tcPr>
          <w:p>
            <w:pPr>
              <w:ind w:left="20"/>
              <w:spacing w:after="0"/>
              <w:rPr>
                <w:sz w:val="20"/>
                <w:szCs w:val="20"/>
                <w:color w:val="auto"/>
              </w:rPr>
            </w:pPr>
            <w:r>
              <w:rPr>
                <w:rFonts w:ascii="Arial" w:cs="Arial" w:eastAsia="Arial" w:hAnsi="Arial"/>
                <w:sz w:val="18"/>
                <w:szCs w:val="18"/>
                <w:color w:val="auto"/>
              </w:rPr>
              <w:t>Estonia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Finland OY</w:t>
            </w:r>
          </w:p>
        </w:tc>
        <w:tc>
          <w:tcPr>
            <w:tcW w:w="468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France S.A.S.</w:t>
            </w:r>
          </w:p>
        </w:tc>
        <w:tc>
          <w:tcPr>
            <w:tcW w:w="46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GmbH</w:t>
            </w:r>
          </w:p>
        </w:tc>
        <w:tc>
          <w:tcPr>
            <w:tcW w:w="46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Hong Kong Limited</w:t>
            </w:r>
          </w:p>
        </w:tc>
        <w:tc>
          <w:tcPr>
            <w:tcW w:w="468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Hungary KFT</w:t>
            </w:r>
          </w:p>
        </w:tc>
        <w:tc>
          <w:tcPr>
            <w:tcW w:w="468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Idec Biotech India Pvt. Ltd.</w:t>
            </w:r>
          </w:p>
        </w:tc>
        <w:tc>
          <w:tcPr>
            <w:tcW w:w="468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Idec (Ireland) Ltd.</w:t>
            </w:r>
          </w:p>
        </w:tc>
        <w:tc>
          <w:tcPr>
            <w:tcW w:w="4680" w:type="dxa"/>
            <w:vAlign w:val="bottom"/>
          </w:tcPr>
          <w:p>
            <w:pPr>
              <w:ind w:left="2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240"/>
          </w:cols>
          <w:pgMar w:left="320" w:top="688"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Nightstar Europa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Italia S.R.L.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Japan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Korea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Latvia SIA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Lithuania UAB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Luxembourg Holding S.a.r.l.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Mexico S. de R.L. de C.V.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Mexico Servicios S. de R.L. de C.V.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NZ Biopharma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Norway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Poland Sp. z.o.o.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Portugal Sociedade Farmaceutica, Unipessoal Lda.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Slovakia s.r.o.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Pharma, farmacevtska in biotehnoloska druzba, d.o.o.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Spain, S.L.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Sweden AB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International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International Neuroscience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Management Services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Swiss Investments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Swiss Manufacturing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Switzerland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Switzerland Holdings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Eidetica Biopharma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Taiwan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B.V.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Netherlands B.V.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Idec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Idec Research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Convergence Pharmaceuticals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Convergence Pharmaceuticals Holdings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Old Convergence Pharmaceuticals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Silver Acquisition Co.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Nightstar Therapeutics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NightstaRx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Tungsten Bidco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Idec Uruguay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Slovak Republic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ectPr>
          <w:pgSz w:w="11900" w:h="16838" w:orient="portrait"/>
          <w:cols w:equalWidth="0" w:num="2">
            <w:col w:w="5840" w:space="720"/>
            <w:col w:w="3559"/>
          </w:cols>
          <w:pgMar w:left="340" w:top="760"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hereby consent to the incorporation by reference in the Registration Statements on Form S-3 (No. 333-237819) and Form S-8 (Nos. 333-218799, 333-205254, 333-128339, 333-152456, 333-140817 and 333-170133) of Biogen Inc. of our report dated February 3,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2021</w:t>
      </w:r>
    </w:p>
    <w:p>
      <w:pPr>
        <w:sectPr>
          <w:pgSz w:w="11900" w:h="16838" w:orient="portrait"/>
          <w:cols w:equalWidth="0" w:num="1">
            <w:col w:w="11240"/>
          </w:cols>
          <w:pgMar w:left="320" w:top="118"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Michel Vounatsos,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1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February 3,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0"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February 3,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48" w:lineRule="exact"/>
        <w:rPr>
          <w:sz w:val="20"/>
          <w:szCs w:val="20"/>
          <w:color w:val="auto"/>
        </w:rPr>
      </w:pPr>
    </w:p>
    <w:p>
      <w:pPr>
        <w:ind w:right="420" w:firstLine="445"/>
        <w:spacing w:after="0" w:line="256" w:lineRule="auto"/>
        <w:rPr>
          <w:sz w:val="20"/>
          <w:szCs w:val="20"/>
          <w:color w:val="auto"/>
        </w:rPr>
      </w:pPr>
      <w:r>
        <w:rPr>
          <w:rFonts w:ascii="Arial" w:cs="Arial" w:eastAsia="Arial" w:hAnsi="Arial"/>
          <w:sz w:val="18"/>
          <w:szCs w:val="18"/>
          <w:color w:val="auto"/>
        </w:rPr>
        <w:t>The Annual Report on Form 10-K for the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February 3,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621"/>
        </w:trPr>
        <w:tc>
          <w:tcPr>
            <w:tcW w:w="6200" w:type="dxa"/>
            <w:vAlign w:val="bottom"/>
          </w:tcPr>
          <w:p>
            <w:pPr>
              <w:spacing w:after="0"/>
              <w:rPr>
                <w:sz w:val="20"/>
                <w:szCs w:val="20"/>
                <w:color w:val="auto"/>
              </w:rPr>
            </w:pPr>
            <w:r>
              <w:rPr>
                <w:rFonts w:ascii="Arial" w:cs="Arial" w:eastAsia="Arial" w:hAnsi="Arial"/>
                <w:sz w:val="18"/>
                <w:szCs w:val="18"/>
                <w:color w:val="auto"/>
              </w:rPr>
              <w:t>Date: February 3,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61"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1)"/>
      <w:numFmt w:val="decimal"/>
      <w:start w:val="1"/>
    </w:lvl>
  </w:abstractNum>
  <w:abstractNum w:abstractNumId="19">
    <w:nsid w:val="6AA78F7F"/>
    <w:multiLevelType w:val="hybridMultilevel"/>
    <w:lvl w:ilvl="0">
      <w:lvlJc w:val="left"/>
      <w:lvlText w:val="(%1)"/>
      <w:numFmt w:val="decimal"/>
      <w:start w:val="1"/>
    </w:lvl>
  </w:abstractNum>
  <w:abstractNum w:abstractNumId="20">
    <w:nsid w:val="7672BD23"/>
    <w:multiLevelType w:val="hybridMultilevel"/>
    <w:lvl w:ilvl="0">
      <w:lvlJc w:val="left"/>
      <w:lvlText w:val="(%1)"/>
      <w:numFmt w:val="decimal"/>
      <w:start w:val="2"/>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l"/>
      <w:numFmt w:val="bullet"/>
      <w:start w:val="1"/>
    </w:lvl>
  </w:abstractNum>
  <w:abstractNum w:abstractNumId="33">
    <w:nsid w:val="53299938"/>
    <w:multiLevelType w:val="hybridMultilevel"/>
    <w:lvl w:ilvl="0">
      <w:lvlJc w:val="left"/>
      <w:lvlText w:val="l"/>
      <w:numFmt w:val="bullet"/>
      <w:start w:val="1"/>
    </w:lvl>
  </w:abstractNum>
  <w:abstractNum w:abstractNumId="34">
    <w:nsid w:val="1FBFE8E0"/>
    <w:multiLevelType w:val="hybridMultilevel"/>
    <w:lvl w:ilvl="0">
      <w:lvlJc w:val="left"/>
      <w:lvlText w:val="l"/>
      <w:numFmt w:val="bullet"/>
      <w:start w:val="1"/>
    </w:lvl>
  </w:abstractNum>
  <w:abstractNum w:abstractNumId="35">
    <w:nsid w:val="5092CA79"/>
    <w:multiLevelType w:val="hybridMultilevel"/>
    <w:lvl w:ilvl="0">
      <w:lvlJc w:val="left"/>
      <w:lvlText w:val="l"/>
      <w:numFmt w:val="bullet"/>
      <w:start w:val="1"/>
    </w:lvl>
  </w:abstractNum>
  <w:abstractNum w:abstractNumId="36">
    <w:nsid w:val="1D545C4D"/>
    <w:multiLevelType w:val="hybridMultilevel"/>
    <w:lvl w:ilvl="0">
      <w:lvlJc w:val="left"/>
      <w:lvlText w:val="l"/>
      <w:numFmt w:val="bullet"/>
      <w:start w:val="1"/>
    </w:lvl>
  </w:abstractNum>
  <w:abstractNum w:abstractNumId="37">
    <w:nsid w:val="59ADEA3D"/>
    <w:multiLevelType w:val="hybridMultilevel"/>
    <w:lvl w:ilvl="0">
      <w:lvlJc w:val="left"/>
      <w:lvlText w:val="l"/>
      <w:numFmt w:val="bullet"/>
      <w:start w:val="1"/>
    </w:lvl>
  </w:abstractNum>
  <w:abstractNum w:abstractNumId="38">
    <w:nsid w:val="288F1A34"/>
    <w:multiLevelType w:val="hybridMultilevel"/>
    <w:lvl w:ilvl="0">
      <w:lvlJc w:val="left"/>
      <w:lvlText w:val="l"/>
      <w:numFmt w:val="bullet"/>
      <w:start w:val="1"/>
    </w:lvl>
  </w:abstractNum>
  <w:abstractNum w:abstractNumId="39">
    <w:nsid w:val="2A155DBC"/>
    <w:multiLevelType w:val="hybridMultilevel"/>
    <w:lvl w:ilvl="0">
      <w:lvlJc w:val="left"/>
      <w:lvlText w:val="l"/>
      <w:numFmt w:val="bullet"/>
      <w:start w:val="1"/>
    </w:lvl>
  </w:abstractNum>
  <w:abstractNum w:abstractNumId="40">
    <w:nsid w:val="1D9F6E5F"/>
    <w:multiLevelType w:val="hybridMultilevel"/>
    <w:lvl w:ilvl="0">
      <w:lvlJc w:val="left"/>
      <w:lvlText w:val="•"/>
      <w:numFmt w:val="bullet"/>
      <w:start w:val="1"/>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
      <w:numFmt w:val="bullet"/>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
      <w:numFmt w:val="bullet"/>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
      <w:numFmt w:val="bullet"/>
      <w:start w:val="1"/>
    </w:lvl>
  </w:abstractNum>
  <w:abstractNum w:abstractNumId="54">
    <w:nsid w:val="39B7AAA2"/>
    <w:multiLevelType w:val="hybridMultilevel"/>
    <w:lvl w:ilvl="0">
      <w:lvlJc w:val="left"/>
      <w:lvlText w:val="•"/>
      <w:numFmt w:val="bullet"/>
      <w:start w:val="1"/>
    </w:lvl>
  </w:abstractNum>
  <w:abstractNum w:abstractNumId="55">
    <w:nsid w:val="2B0D8DBE"/>
    <w:multiLevelType w:val="hybridMultilevel"/>
    <w:lvl w:ilvl="0">
      <w:lvlJc w:val="left"/>
      <w:lvlText w:val="•"/>
      <w:numFmt w:val="bullet"/>
      <w:start w:val="1"/>
    </w:lvl>
    <w:lvl w:ilvl="1">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
      <w:numFmt w:val="bullet"/>
      <w:start w:val="1"/>
    </w:lvl>
  </w:abstractNum>
  <w:abstractNum w:abstractNumId="68">
    <w:nsid w:val="175DFCF0"/>
    <w:multiLevelType w:val="hybridMultilevel"/>
    <w:lvl w:ilvl="0">
      <w:lvlJc w:val="left"/>
      <w:lvlText w:val="•"/>
      <w:numFmt w:val="bullet"/>
      <w:start w:val="1"/>
    </w:lvl>
  </w:abstractNum>
  <w:abstractNum w:abstractNumId="69">
    <w:nsid w:val="4F97E3E4"/>
    <w:multiLevelType w:val="hybridMultilevel"/>
    <w:lvl w:ilvl="0">
      <w:lvlJc w:val="left"/>
      <w:lvlText w:val="•"/>
      <w:numFmt w:val="bullet"/>
      <w:start w:val="1"/>
    </w:lvl>
  </w:abstractNum>
  <w:abstractNum w:abstractNumId="70">
    <w:nsid w:val="53B0A9E"/>
    <w:multiLevelType w:val="hybridMultilevel"/>
    <w:lvl w:ilvl="0">
      <w:lvlJc w:val="left"/>
      <w:lvlText w:val="•"/>
      <w:numFmt w:val="bullet"/>
      <w:start w:val="1"/>
    </w:lvl>
  </w:abstractNum>
  <w:abstractNum w:abstractNumId="71">
    <w:nsid w:val="34FD6B4F"/>
    <w:multiLevelType w:val="hybridMultilevel"/>
    <w:lvl w:ilvl="0">
      <w:lvlJc w:val="left"/>
      <w:lvlText w:val="•"/>
      <w:numFmt w:val="bullet"/>
      <w:start w:val="1"/>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
      <w:numFmt w:val="bullet"/>
      <w:start w:val="1"/>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
      <w:numFmt w:val="bullet"/>
      <w:start w:val="1"/>
    </w:lvl>
  </w:abstractNum>
  <w:abstractNum w:abstractNumId="76">
    <w:nsid w:val="17A1B582"/>
    <w:multiLevelType w:val="hybridMultilevel"/>
    <w:lvl w:ilvl="0">
      <w:lvlJc w:val="left"/>
      <w:lvlText w:val="(%1)"/>
      <w:numFmt w:val="decimal"/>
      <w:start w:val="1"/>
    </w:lvl>
  </w:abstractNum>
  <w:abstractNum w:abstractNumId="77">
    <w:nsid w:val="4DF72E4E"/>
    <w:multiLevelType w:val="hybridMultilevel"/>
    <w:lvl w:ilvl="0">
      <w:lvlJc w:val="left"/>
      <w:lvlText w:val="(%1)"/>
      <w:numFmt w:val="lowerRoman"/>
      <w:start w:val="2"/>
    </w:lvl>
  </w:abstractNum>
  <w:abstractNum w:abstractNumId="78">
    <w:nsid w:val="5046B5A9"/>
    <w:multiLevelType w:val="hybridMultilevel"/>
    <w:lvl w:ilvl="0">
      <w:lvlJc w:val="left"/>
      <w:lvlText w:val="•"/>
      <w:numFmt w:val="bullet"/>
      <w:start w:val="1"/>
    </w:lvl>
  </w:abstractNum>
  <w:abstractNum w:abstractNumId="79">
    <w:nsid w:val="5D888A08"/>
    <w:multiLevelType w:val="hybridMultilevel"/>
    <w:lvl w:ilvl="0">
      <w:lvlJc w:val="left"/>
      <w:lvlText w:val="(%1)"/>
      <w:numFmt w:val="lowerLetter"/>
      <w:start w:val="1"/>
    </w:lvl>
  </w:abstractNum>
  <w:abstractNum w:abstractNumId="80">
    <w:nsid w:val="2A082C70"/>
    <w:multiLevelType w:val="hybridMultilevel"/>
    <w:lvl w:ilvl="0">
      <w:lvlJc w:val="left"/>
      <w:lvlText w:val="•"/>
      <w:numFmt w:val="bullet"/>
      <w:start w:val="1"/>
    </w:lvl>
  </w:abstractNum>
  <w:abstractNum w:abstractNumId="81">
    <w:nsid w:val="5EC6AFD4"/>
    <w:multiLevelType w:val="hybridMultilevel"/>
    <w:lvl w:ilvl="0">
      <w:lvlJc w:val="left"/>
      <w:lvlText w:val="•"/>
      <w:numFmt w:val="bullet"/>
      <w:start w:val="1"/>
    </w:lvl>
  </w:abstractNum>
  <w:abstractNum w:abstractNumId="82">
    <w:nsid w:val="19E21BB2"/>
    <w:multiLevelType w:val="hybridMultilevel"/>
    <w:lvl w:ilvl="0">
      <w:lvlJc w:val="left"/>
      <w:lvlText w:val="%1."/>
      <w:numFmt w:val="lowerLetter"/>
      <w:start w:val="1"/>
    </w:lvl>
  </w:abstractNum>
  <w:abstractNum w:abstractNumId="83">
    <w:nsid w:val="75E0858A"/>
    <w:multiLevelType w:val="hybridMultilevel"/>
    <w:lvl w:ilvl="0">
      <w:lvlJc w:val="left"/>
      <w:lvlText w:val="*"/>
      <w:numFmt w:val="bullet"/>
      <w:start w:val="1"/>
    </w:lvl>
  </w:abstractNum>
  <w:abstractNum w:abstractNumId="84">
    <w:nsid w:val="57A61A29"/>
    <w:multiLevelType w:val="hybridMultilevel"/>
    <w:lvl w:ilvl="0">
      <w:lvlJc w:val="left"/>
      <w:lvlText w:val="†"/>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1."/>
      <w:numFmt w:val="decimal"/>
      <w:start w:val="1"/>
    </w:lvl>
  </w:abstractNum>
  <w:abstractNum w:abstractNumId="87">
    <w:nsid w:val="4427069A"/>
    <w:multiLevelType w:val="hybridMultilevel"/>
    <w:lvl w:ilvl="0">
      <w:lvlJc w:val="left"/>
      <w:lvlText w:val="•"/>
      <w:numFmt w:val="bullet"/>
      <w:start w:val="1"/>
    </w:lvl>
  </w:abstractNum>
  <w:abstractNum w:abstractNumId="88">
    <w:nsid w:val="B37E80A"/>
    <w:multiLevelType w:val="hybridMultilevel"/>
    <w:lvl w:ilvl="0">
      <w:lvlJc w:val="left"/>
      <w:lvlText w:val="•"/>
      <w:numFmt w:val="bullet"/>
      <w:start w:val="1"/>
    </w:lvl>
  </w:abstractNum>
  <w:abstractNum w:abstractNumId="89">
    <w:nsid w:val="2157F6BC"/>
    <w:multiLevelType w:val="hybridMultilevel"/>
    <w:lvl w:ilvl="0">
      <w:lvlJc w:val="left"/>
      <w:lvlText w:val="(%1)"/>
      <w:numFmt w:val="lowerRoman"/>
      <w:start w:val="1"/>
    </w:lvl>
  </w:abstractNum>
  <w:abstractNum w:abstractNumId="90">
    <w:nsid w:val="704E1DD5"/>
    <w:multiLevelType w:val="hybridMultilevel"/>
    <w:lvl w:ilvl="0">
      <w:lvlJc w:val="left"/>
      <w:lvlText w:val="•"/>
      <w:numFmt w:val="bullet"/>
      <w:start w:val="1"/>
    </w:lvl>
  </w:abstractNum>
  <w:abstractNum w:abstractNumId="91">
    <w:nsid w:val="57D2F10E"/>
    <w:multiLevelType w:val="hybridMultilevel"/>
    <w:lvl w:ilvl="0">
      <w:lvlJc w:val="left"/>
      <w:lvlText w:val="•"/>
      <w:numFmt w:val="bullet"/>
      <w:start w:val="1"/>
    </w:lvl>
  </w:abstractNum>
  <w:abstractNum w:abstractNumId="92">
    <w:nsid w:val="BFFAE18"/>
    <w:multiLevelType w:val="hybridMultilevel"/>
    <w:lvl w:ilvl="0">
      <w:lvlJc w:val="left"/>
      <w:lvlText w:val="•"/>
      <w:numFmt w:val="bullet"/>
      <w:start w:val="1"/>
    </w:lvl>
  </w:abstractNum>
  <w:abstractNum w:abstractNumId="93">
    <w:nsid w:val="E3E47A8"/>
    <w:multiLevelType w:val="hybridMultilevel"/>
    <w:lvl w:ilvl="0">
      <w:lvlJc w:val="left"/>
      <w:lvlText w:val="%1."/>
      <w:numFmt w:val="decimal"/>
      <w:start w:val="2"/>
    </w:lvl>
  </w:abstractNum>
  <w:abstractNum w:abstractNumId="94">
    <w:nsid w:val="2E48F044"/>
    <w:multiLevelType w:val="hybridMultilevel"/>
    <w:lvl w:ilvl="0">
      <w:lvlJc w:val="left"/>
      <w:lvlText w:val="%1."/>
      <w:numFmt w:val="decimal"/>
      <w:start w:val="3"/>
    </w:lvl>
  </w:abstractNum>
  <w:abstractNum w:abstractNumId="95">
    <w:nsid w:val="49D0FEAC"/>
    <w:multiLevelType w:val="hybridMultilevel"/>
    <w:lvl w:ilvl="0">
      <w:lvlJc w:val="left"/>
      <w:lvlText w:val="%1."/>
      <w:numFmt w:val="decimal"/>
      <w:start w:val="4"/>
    </w:lvl>
  </w:abstractNum>
  <w:abstractNum w:abstractNumId="96">
    <w:nsid w:val="4BEE5A5B"/>
    <w:multiLevelType w:val="hybridMultilevel"/>
    <w:lvl w:ilvl="0">
      <w:lvlJc w:val="left"/>
      <w:lvlText w:val="%1."/>
      <w:numFmt w:val="decimal"/>
      <w:start w:val="6"/>
    </w:lvl>
  </w:abstractNum>
  <w:abstractNum w:abstractNumId="97">
    <w:nsid w:val="5551B9F3"/>
    <w:multiLevelType w:val="hybridMultilevel"/>
    <w:lvl w:ilvl="0">
      <w:lvlJc w:val="left"/>
      <w:lvlText w:val="%1."/>
      <w:numFmt w:val="decimal"/>
      <w:start w:val="7"/>
    </w:lvl>
  </w:abstractNum>
  <w:abstractNum w:abstractNumId="98">
    <w:nsid w:val="24F6AB8E"/>
    <w:multiLevelType w:val="hybridMultilevel"/>
    <w:lvl w:ilvl="0">
      <w:lvlJc w:val="left"/>
      <w:lvlText w:val="$"/>
      <w:numFmt w:val="bullet"/>
      <w:start w:val="1"/>
    </w:lvl>
  </w:abstractNum>
  <w:abstractNum w:abstractNumId="99">
    <w:nsid w:val="634C574C"/>
    <w:multiLevelType w:val="hybridMultilevel"/>
    <w:lvl w:ilvl="0">
      <w:lvlJc w:val="left"/>
      <w:lvlText w:val="$"/>
      <w:numFmt w:val="bullet"/>
      <w:start w:val="1"/>
    </w:lvl>
  </w:abstractNum>
  <w:abstractNum w:abstractNumId="100">
    <w:nsid w:val="24E99DD7"/>
    <w:multiLevelType w:val="hybridMultilevel"/>
    <w:lvl w:ilvl="0">
      <w:lvlJc w:val="left"/>
      <w:lvlText w:val="(%1)"/>
      <w:numFmt w:val="decimal"/>
      <w:start w:val="1"/>
    </w:lvl>
  </w:abstractNum>
  <w:abstractNum w:abstractNumId="101">
    <w:nsid w:val="2A31B62D"/>
    <w:multiLevelType w:val="hybridMultilevel"/>
    <w:lvl w:ilvl="0">
      <w:lvlJc w:val="left"/>
      <w:lvlText w:val="%1."/>
      <w:numFmt w:val="decimal"/>
      <w:start w:val="8"/>
    </w:lvl>
  </w:abstractNum>
  <w:abstractNum w:abstractNumId="102">
    <w:nsid w:val="1849C29B"/>
    <w:multiLevelType w:val="hybridMultilevel"/>
    <w:lvl w:ilvl="0">
      <w:lvlJc w:val="left"/>
      <w:lvlText w:val="%1."/>
      <w:numFmt w:val="decimal"/>
      <w:start w:val="9"/>
    </w:lvl>
  </w:abstractNum>
  <w:abstractNum w:abstractNumId="103">
    <w:nsid w:val="7DFF9D09"/>
    <w:multiLevelType w:val="hybridMultilevel"/>
    <w:lvl w:ilvl="0">
      <w:lvlJc w:val="left"/>
      <w:lvlText w:val="%1."/>
      <w:numFmt w:val="decimal"/>
      <w:start w:val="10"/>
    </w:lvl>
  </w:abstractNum>
  <w:abstractNum w:abstractNumId="104">
    <w:nsid w:val="754342"/>
    <w:multiLevelType w:val="hybridMultilevel"/>
    <w:lvl w:ilvl="0">
      <w:lvlJc w:val="left"/>
      <w:lvlText w:val="%1."/>
      <w:numFmt w:val="decimal"/>
      <w:start w:val="11"/>
    </w:lvl>
  </w:abstractNum>
  <w:abstractNum w:abstractNumId="105">
    <w:nsid w:val="69E7F3E5"/>
    <w:multiLevelType w:val="hybridMultilevel"/>
    <w:lvl w:ilvl="0">
      <w:lvlJc w:val="left"/>
      <w:lvlText w:val="%1."/>
      <w:numFmt w:val="decimal"/>
      <w:start w:val="12"/>
    </w:lvl>
  </w:abstractNum>
  <w:abstractNum w:abstractNumId="106">
    <w:nsid w:val="2A6DE806"/>
    <w:multiLevelType w:val="hybridMultilevel"/>
    <w:lvl w:ilvl="0">
      <w:lvlJc w:val="left"/>
      <w:lvlText w:val="$"/>
      <w:numFmt w:val="bullet"/>
      <w:start w:val="1"/>
    </w:lvl>
  </w:abstractNum>
  <w:abstractNum w:abstractNumId="107">
    <w:nsid w:val="1816F8C4"/>
    <w:multiLevelType w:val="hybridMultilevel"/>
    <w:lvl w:ilvl="0">
      <w:lvlJc w:val="left"/>
      <w:lvlText w:val="$"/>
      <w:numFmt w:val="bullet"/>
      <w:start w:val="1"/>
    </w:lvl>
  </w:abstractNum>
  <w:abstractNum w:abstractNumId="108">
    <w:nsid w:val="37DF2233"/>
    <w:multiLevelType w:val="hybridMultilevel"/>
    <w:lvl w:ilvl="0">
      <w:lvlJc w:val="left"/>
      <w:lvlText w:val="$"/>
      <w:numFmt w:val="bullet"/>
      <w:start w:val="1"/>
    </w:lvl>
  </w:abstractNum>
  <w:abstractNum w:abstractNumId="109">
    <w:nsid w:val="7AB49DAF"/>
    <w:multiLevelType w:val="hybridMultilevel"/>
    <w:lvl w:ilvl="0">
      <w:lvlJc w:val="left"/>
      <w:lvlText w:val="(%1)"/>
      <w:numFmt w:val="decimal"/>
      <w:start w:val="1"/>
    </w:lvl>
  </w:abstractNum>
  <w:abstractNum w:abstractNumId="110">
    <w:nsid w:val="759F82CD"/>
    <w:multiLevelType w:val="hybridMultilevel"/>
    <w:lvl w:ilvl="0">
      <w:lvlJc w:val="left"/>
      <w:lvlText w:val="•"/>
      <w:numFmt w:val="bullet"/>
      <w:start w:val="1"/>
    </w:lvl>
  </w:abstractNum>
  <w:abstractNum w:abstractNumId="111">
    <w:nsid w:val="61E74EA3"/>
    <w:multiLevelType w:val="hybridMultilevel"/>
    <w:lvl w:ilvl="0">
      <w:lvlJc w:val="left"/>
      <w:lvlText w:val="•"/>
      <w:numFmt w:val="bullet"/>
      <w:start w:val="1"/>
    </w:lvl>
  </w:abstractNum>
  <w:abstractNum w:abstractNumId="112">
    <w:nsid w:val="597B4D84"/>
    <w:multiLevelType w:val="hybridMultilevel"/>
    <w:lvl w:ilvl="0">
      <w:lvlJc w:val="left"/>
      <w:lvlText w:val="•"/>
      <w:numFmt w:val="bullet"/>
      <w:start w:val="1"/>
    </w:lvl>
  </w:abstractNum>
  <w:abstractNum w:abstractNumId="113">
    <w:nsid w:val="F819E7F"/>
    <w:multiLevelType w:val="hybridMultilevel"/>
    <w:lvl w:ilvl="0">
      <w:lvlJc w:val="left"/>
      <w:lvlText w:val="%1."/>
      <w:numFmt w:val="decimal"/>
      <w:start w:val="13"/>
    </w:lvl>
  </w:abstractNum>
  <w:abstractNum w:abstractNumId="114">
    <w:nsid w:val="57C7D42D"/>
    <w:multiLevelType w:val="hybridMultilevel"/>
    <w:lvl w:ilvl="0">
      <w:lvlJc w:val="left"/>
      <w:lvlText w:val="%1."/>
      <w:numFmt w:val="decimal"/>
      <w:start w:val="14"/>
    </w:lvl>
  </w:abstractNum>
  <w:abstractNum w:abstractNumId="115">
    <w:nsid w:val="312167AD"/>
    <w:multiLevelType w:val="hybridMultilevel"/>
    <w:lvl w:ilvl="0">
      <w:lvlJc w:val="left"/>
      <w:lvlText w:val="%1."/>
      <w:numFmt w:val="decimal"/>
      <w:start w:val="15"/>
    </w:lvl>
  </w:abstractNum>
  <w:abstractNum w:abstractNumId="116">
    <w:nsid w:val="631B64D4"/>
    <w:multiLevelType w:val="hybridMultilevel"/>
    <w:lvl w:ilvl="0">
      <w:lvlJc w:val="left"/>
      <w:lvlText w:val="(%1)"/>
      <w:numFmt w:val="decimal"/>
      <w:start w:val="1"/>
    </w:lvl>
  </w:abstractNum>
  <w:abstractNum w:abstractNumId="117">
    <w:nsid w:val="78B5E776"/>
    <w:multiLevelType w:val="hybridMultilevel"/>
    <w:lvl w:ilvl="0">
      <w:lvlJc w:val="left"/>
      <w:lvlText w:val="(%1)"/>
      <w:numFmt w:val="decimal"/>
      <w:start w:val="1"/>
    </w:lvl>
  </w:abstractNum>
  <w:abstractNum w:abstractNumId="118">
    <w:nsid w:val="75486E47"/>
    <w:multiLevelType w:val="hybridMultilevel"/>
    <w:lvl w:ilvl="0">
      <w:lvlJc w:val="left"/>
      <w:lvlText w:val="(%1)"/>
      <w:numFmt w:val="decimal"/>
      <w:start w:val="1"/>
    </w:lvl>
  </w:abstractNum>
  <w:abstractNum w:abstractNumId="119">
    <w:nsid w:val="6E534CDE"/>
    <w:multiLevelType w:val="hybridMultilevel"/>
    <w:lvl w:ilvl="0">
      <w:lvlJc w:val="left"/>
      <w:lvlText w:val="(%1)"/>
      <w:numFmt w:val="decimal"/>
      <w:start w:val="1"/>
    </w:lvl>
  </w:abstractNum>
  <w:abstractNum w:abstractNumId="120">
    <w:nsid w:val="1A0DDE32"/>
    <w:multiLevelType w:val="hybridMultilevel"/>
    <w:lvl w:ilvl="0">
      <w:lvlJc w:val="left"/>
      <w:lvlText w:val="%1."/>
      <w:numFmt w:val="decimal"/>
      <w:start w:val="16"/>
    </w:lvl>
  </w:abstractNum>
  <w:abstractNum w:abstractNumId="121">
    <w:nsid w:val="65968C1C"/>
    <w:multiLevelType w:val="hybridMultilevel"/>
    <w:lvl w:ilvl="0">
      <w:lvlJc w:val="left"/>
      <w:lvlText w:val="%1."/>
      <w:numFmt w:val="decimal"/>
      <w:start w:val="17"/>
    </w:lvl>
  </w:abstractNum>
  <w:abstractNum w:abstractNumId="122">
    <w:nsid w:val="46263DEC"/>
    <w:multiLevelType w:val="hybridMultilevel"/>
    <w:lvl w:ilvl="0">
      <w:lvlJc w:val="left"/>
      <w:lvlText w:val="%1."/>
      <w:numFmt w:val="decimal"/>
      <w:start w:val="18"/>
    </w:lvl>
  </w:abstractNum>
  <w:abstractNum w:abstractNumId="123">
    <w:nsid w:val="260D8C4A"/>
    <w:multiLevelType w:val="hybridMultilevel"/>
    <w:lvl w:ilvl="0">
      <w:lvlJc w:val="left"/>
      <w:lvlText w:val="%1."/>
      <w:numFmt w:val="decimal"/>
      <w:start w:val="19"/>
    </w:lvl>
  </w:abstractNum>
  <w:abstractNum w:abstractNumId="124">
    <w:nsid w:val="73D4D3C4"/>
    <w:multiLevelType w:val="hybridMultilevel"/>
    <w:lvl w:ilvl="0">
      <w:lvlJc w:val="left"/>
      <w:lvlText w:val="%1."/>
      <w:numFmt w:val="decimal"/>
      <w:start w:val="20"/>
    </w:lvl>
  </w:abstractNum>
  <w:abstractNum w:abstractNumId="125">
    <w:nsid w:val="746F2E30"/>
    <w:multiLevelType w:val="hybridMultilevel"/>
    <w:lvl w:ilvl="0">
      <w:lvlJc w:val="left"/>
      <w:lvlText w:val="%1."/>
      <w:numFmt w:val="decimal"/>
      <w:start w:val="21"/>
    </w:lvl>
  </w:abstractNum>
  <w:abstractNum w:abstractNumId="126">
    <w:nsid w:val="6FDE8AF6"/>
    <w:multiLevelType w:val="hybridMultilevel"/>
    <w:lvl w:ilvl="0">
      <w:lvlJc w:val="left"/>
      <w:lvlText w:val="%1."/>
      <w:numFmt w:val="decimal"/>
      <w:start w:val="22"/>
    </w:lvl>
  </w:abstractNum>
  <w:abstractNum w:abstractNumId="127">
    <w:nsid w:val="3FC32E20"/>
    <w:multiLevelType w:val="hybridMultilevel"/>
    <w:lvl w:ilvl="0">
      <w:lvlJc w:val="left"/>
      <w:lvlText w:val="%1."/>
      <w:numFmt w:val="decimal"/>
      <w:start w:val="23"/>
    </w:lvl>
  </w:abstractNum>
  <w:abstractNum w:abstractNumId="128">
    <w:nsid w:val="49C0E823"/>
    <w:multiLevelType w:val="hybridMultilevel"/>
    <w:lvl w:ilvl="0">
      <w:lvlJc w:val="left"/>
      <w:lvlText w:val="%1."/>
      <w:numFmt w:val="decimal"/>
      <w:start w:val="24"/>
    </w:lvl>
  </w:abstractNum>
  <w:abstractNum w:abstractNumId="129">
    <w:nsid w:val="14D53685"/>
    <w:multiLevelType w:val="hybridMultilevel"/>
    <w:lvl w:ilvl="0">
      <w:lvlJc w:val="left"/>
      <w:lvlText w:val="%1."/>
      <w:numFmt w:val="decimal"/>
      <w:start w:val="25"/>
    </w:lvl>
  </w:abstractNum>
  <w:abstractNum w:abstractNumId="130">
    <w:nsid w:val="230F856C"/>
    <w:multiLevelType w:val="hybridMultilevel"/>
    <w:lvl w:ilvl="0">
      <w:lvlJc w:val="left"/>
      <w:lvlText w:val="(%1)"/>
      <w:numFmt w:val="decimal"/>
      <w:start w:val="1"/>
    </w:lvl>
  </w:abstractNum>
  <w:abstractNum w:abstractNumId="131">
    <w:nsid w:val="6EAA85FB"/>
    <w:multiLevelType w:val="hybridMultilevel"/>
    <w:lvl w:ilvl="0">
      <w:lvlJc w:val="left"/>
      <w:lvlText w:val="•"/>
      <w:numFmt w:val="bullet"/>
      <w:start w:val="1"/>
    </w:lvl>
  </w:abstractNum>
  <w:abstractNum w:abstractNumId="132">
    <w:nsid w:val="3F06ECB2"/>
    <w:multiLevelType w:val="hybridMultilevel"/>
    <w:lvl w:ilvl="0">
      <w:lvlJc w:val="left"/>
      <w:lvlText w:val="•"/>
      <w:numFmt w:val="bullet"/>
      <w:start w:val="1"/>
    </w:lvl>
  </w:abstractNum>
  <w:abstractNum w:abstractNumId="133">
    <w:nsid w:val="3B594807"/>
    <w:multiLevelType w:val="hybridMultilevel"/>
    <w:lvl w:ilvl="0">
      <w:lvlJc w:val="left"/>
      <w:lvlText w:val="•"/>
      <w:numFmt w:val="bullet"/>
      <w:start w:val="1"/>
    </w:lvl>
  </w:abstractNum>
  <w:abstractNum w:abstractNumId="134">
    <w:nsid w:val="6CAA2304"/>
    <w:multiLevelType w:val="hybridMultilevel"/>
    <w:lvl w:ilvl="0">
      <w:lvlJc w:val="left"/>
      <w:lvlText w:val="•"/>
      <w:numFmt w:val="bullet"/>
      <w:start w:val="1"/>
    </w:lvl>
  </w:abstractNum>
  <w:abstractNum w:abstractNumId="135">
    <w:nsid w:val="3F7C2FF4"/>
    <w:multiLevelType w:val="hybridMultilevel"/>
    <w:lvl w:ilvl="0">
      <w:lvlJc w:val="left"/>
      <w:lvlText w:val="•"/>
      <w:numFmt w:val="bullet"/>
      <w:start w:val="1"/>
    </w:lvl>
  </w:abstractNum>
  <w:abstractNum w:abstractNumId="136">
    <w:nsid w:val="25413BEC"/>
    <w:multiLevelType w:val="hybridMultilevel"/>
    <w:lvl w:ilvl="0">
      <w:lvlJc w:val="left"/>
      <w:lvlText w:val="•"/>
      <w:numFmt w:val="bullet"/>
      <w:start w:val="1"/>
    </w:lvl>
  </w:abstractNum>
  <w:abstractNum w:abstractNumId="137">
    <w:nsid w:val="17180B0B"/>
    <w:multiLevelType w:val="hybridMultilevel"/>
    <w:lvl w:ilvl="0">
      <w:lvlJc w:val="left"/>
      <w:lvlText w:val="•"/>
      <w:numFmt w:val="bullet"/>
      <w:start w:val="1"/>
    </w:lvl>
  </w:abstractNum>
  <w:abstractNum w:abstractNumId="138">
    <w:nsid w:val="579328B9"/>
    <w:multiLevelType w:val="hybridMultilevel"/>
    <w:lvl w:ilvl="0">
      <w:lvlJc w:val="left"/>
      <w:lvlText w:val="•"/>
      <w:numFmt w:val="bullet"/>
      <w:start w:val="1"/>
    </w:lvl>
  </w:abstractNum>
  <w:abstractNum w:abstractNumId="139">
    <w:nsid w:val="5D205E20"/>
    <w:multiLevelType w:val="hybridMultilevel"/>
    <w:lvl w:ilvl="0">
      <w:lvlJc w:val="left"/>
      <w:lvlText w:val="•"/>
      <w:numFmt w:val="bullet"/>
      <w:start w:val="1"/>
    </w:lvl>
    <w:lvl w:ilvl="1">
      <w:lvlJc w:val="left"/>
      <w:lvlText w:val="%2."/>
      <w:numFmt w:val="lowerLetter"/>
      <w:start w:val="1"/>
    </w:lvl>
  </w:abstractNum>
  <w:abstractNum w:abstractNumId="140">
    <w:nsid w:val="11CCA8BA"/>
    <w:multiLevelType w:val="hybridMultilevel"/>
    <w:lvl w:ilvl="0">
      <w:lvlJc w:val="left"/>
      <w:lvlText w:val="•"/>
      <w:numFmt w:val="bullet"/>
      <w:start w:val="1"/>
    </w:lvl>
  </w:abstractNum>
  <w:abstractNum w:abstractNumId="141">
    <w:nsid w:val="4D32AB86"/>
    <w:multiLevelType w:val="hybridMultilevel"/>
    <w:lvl w:ilvl="0">
      <w:lvlJc w:val="left"/>
      <w:lvlText w:val="•"/>
      <w:numFmt w:val="bullet"/>
      <w:start w:val="1"/>
    </w:lvl>
  </w:abstractNum>
  <w:abstractNum w:abstractNumId="142">
    <w:nsid w:val="3F07ACC3"/>
    <w:multiLevelType w:val="hybridMultilevel"/>
    <w:lvl w:ilvl="0">
      <w:lvlJc w:val="left"/>
      <w:lvlText w:val="•"/>
      <w:numFmt w:val="bullet"/>
      <w:start w:val="1"/>
    </w:lvl>
  </w:abstractNum>
  <w:abstractNum w:abstractNumId="143">
    <w:nsid w:val="6B47F63E"/>
    <w:multiLevelType w:val="hybridMultilevel"/>
    <w:lvl w:ilvl="0">
      <w:lvlJc w:val="left"/>
      <w:lvlText w:val="•"/>
      <w:numFmt w:val="bullet"/>
      <w:start w:val="1"/>
    </w:lvl>
  </w:abstractNum>
  <w:abstractNum w:abstractNumId="144">
    <w:nsid w:val="5CB44A05"/>
    <w:multiLevelType w:val="hybridMultilevel"/>
    <w:lvl w:ilvl="0">
      <w:lvlJc w:val="left"/>
      <w:lvlText w:val="•"/>
      <w:numFmt w:val="bullet"/>
      <w:start w:val="1"/>
    </w:lvl>
  </w:abstractNum>
  <w:abstractNum w:abstractNumId="145">
    <w:nsid w:val="16CF80F1"/>
    <w:multiLevelType w:val="hybridMultilevel"/>
    <w:lvl w:ilvl="0">
      <w:lvlJc w:val="left"/>
      <w:lvlText w:val="•"/>
      <w:numFmt w:val="bullet"/>
      <w:start w:val="1"/>
    </w:lvl>
  </w:abstractNum>
  <w:abstractNum w:abstractNumId="146">
    <w:nsid w:val="1C695DEC"/>
    <w:multiLevelType w:val="hybridMultilevel"/>
    <w:lvl w:ilvl="0">
      <w:lvlJc w:val="left"/>
      <w:lvlText w:val="•"/>
      <w:numFmt w:val="bullet"/>
      <w:start w:val="1"/>
    </w:lvl>
  </w:abstractNum>
  <w:abstractNum w:abstractNumId="147">
    <w:nsid w:val="3FCFAED9"/>
    <w:multiLevelType w:val="hybridMultilevel"/>
    <w:lvl w:ilvl="0">
      <w:lvlJc w:val="left"/>
      <w:lvlText w:val="•"/>
      <w:numFmt w:val="bullet"/>
      <w:start w:val="1"/>
    </w:lvl>
  </w:abstractNum>
  <w:abstractNum w:abstractNumId="148">
    <w:nsid w:val="F856867"/>
    <w:multiLevelType w:val="hybridMultilevel"/>
    <w:lvl w:ilvl="0">
      <w:lvlJc w:val="left"/>
      <w:lvlText w:val="•"/>
      <w:numFmt w:val="bullet"/>
      <w:start w:val="1"/>
    </w:lvl>
  </w:abstractNum>
  <w:abstractNum w:abstractNumId="149">
    <w:nsid w:val="11B1CC33"/>
    <w:multiLevelType w:val="hybridMultilevel"/>
    <w:lvl w:ilvl="0">
      <w:lvlJc w:val="left"/>
      <w:lvlText w:val="•"/>
      <w:numFmt w:val="bullet"/>
      <w:start w:val="1"/>
    </w:lvl>
  </w:abstractNum>
  <w:abstractNum w:abstractNumId="150">
    <w:nsid w:val="2E22FBB7"/>
    <w:multiLevelType w:val="hybridMultilevel"/>
    <w:lvl w:ilvl="0">
      <w:lvlJc w:val="left"/>
      <w:lvlText w:val="•"/>
      <w:numFmt w:val="bullet"/>
      <w:start w:val="1"/>
    </w:lvl>
  </w:abstractNum>
  <w:abstractNum w:abstractNumId="151">
    <w:nsid w:val="29934699"/>
    <w:multiLevelType w:val="hybridMultilevel"/>
    <w:lvl w:ilvl="0">
      <w:lvlJc w:val="left"/>
      <w:lvlText w:val="•"/>
      <w:numFmt w:val="bullet"/>
      <w:start w:val="1"/>
    </w:lvl>
  </w:abstractNum>
  <w:abstractNum w:abstractNumId="152">
    <w:nsid w:val="77485850"/>
    <w:multiLevelType w:val="hybridMultilevel"/>
    <w:lvl w:ilvl="0">
      <w:lvlJc w:val="left"/>
      <w:lvlText w:val="(%1)"/>
      <w:numFmt w:val="decimal"/>
      <w:start w:val="1"/>
    </w:lvl>
  </w:abstractNum>
  <w:abstractNum w:abstractNumId="153">
    <w:nsid w:val="744939A3"/>
    <w:multiLevelType w:val="hybridMultilevel"/>
    <w:lvl w:ilvl="0">
      <w:lvlJc w:val="left"/>
      <w:lvlText w:val="•"/>
      <w:numFmt w:val="bullet"/>
      <w:start w:val="1"/>
    </w:lvl>
  </w:abstractNum>
  <w:abstractNum w:abstractNumId="154">
    <w:nsid w:val="4FA0D2E3"/>
    <w:multiLevelType w:val="hybridMultilevel"/>
    <w:lvl w:ilvl="0">
      <w:lvlJc w:val="left"/>
      <w:lvlText w:val="•"/>
      <w:numFmt w:val="bullet"/>
      <w:start w:val="1"/>
    </w:lvl>
  </w:abstractNum>
  <w:abstractNum w:abstractNumId="155">
    <w:nsid w:val="6B1D2C14"/>
    <w:multiLevelType w:val="hybridMultilevel"/>
    <w:lvl w:ilvl="0">
      <w:lvlJc w:val="left"/>
      <w:lvlText w:val="•"/>
      <w:numFmt w:val="bullet"/>
      <w:start w:val="1"/>
    </w:lvl>
  </w:abstractNum>
  <w:abstractNum w:abstractNumId="156">
    <w:nsid w:val="68B867D3"/>
    <w:multiLevelType w:val="hybridMultilevel"/>
    <w:lvl w:ilvl="0">
      <w:lvlJc w:val="left"/>
      <w:lvlText w:val="•"/>
      <w:numFmt w:val="bullet"/>
      <w:start w:val="1"/>
    </w:lvl>
  </w:abstractNum>
  <w:abstractNum w:abstractNumId="157">
    <w:nsid w:val="3F7F5DD9"/>
    <w:multiLevelType w:val="hybridMultilevel"/>
    <w:lvl w:ilvl="0">
      <w:lvlJc w:val="left"/>
      <w:lvlText w:val="•"/>
      <w:numFmt w:val="bullet"/>
      <w:start w:val="1"/>
    </w:lvl>
  </w:abstractNum>
  <w:abstractNum w:abstractNumId="158">
    <w:nsid w:val="2AE05A34"/>
    <w:multiLevelType w:val="hybridMultilevel"/>
    <w:lvl w:ilvl="0">
      <w:lvlJc w:val="left"/>
      <w:lvlText w:val="(%1)"/>
      <w:numFmt w:val="lowerRoman"/>
      <w:start w:val="2"/>
    </w:lvl>
  </w:abstractNum>
  <w:abstractNum w:abstractNumId="159">
    <w:nsid w:val="32794FF7"/>
    <w:multiLevelType w:val="hybridMultilevel"/>
    <w:lvl w:ilvl="0">
      <w:lvlJc w:val="left"/>
      <w:lvlText w:val="•"/>
      <w:numFmt w:val="bullet"/>
      <w:start w:val="1"/>
    </w:lvl>
  </w:abstractNum>
  <w:abstractNum w:abstractNumId="160">
    <w:nsid w:val="5454945E"/>
    <w:multiLevelType w:val="hybridMultilevel"/>
    <w:lvl w:ilvl="0">
      <w:lvlJc w:val="left"/>
      <w:lvlText w:val="•"/>
      <w:numFmt w:val="bullet"/>
      <w:start w:val="1"/>
    </w:lvl>
  </w:abstractNum>
  <w:abstractNum w:abstractNumId="161">
    <w:nsid w:val="4DEFDFA0"/>
    <w:multiLevelType w:val="hybridMultilevel"/>
    <w:lvl w:ilvl="0">
      <w:lvlJc w:val="left"/>
      <w:lvlText w:val="•"/>
      <w:numFmt w:val="bullet"/>
      <w:start w:val="1"/>
    </w:lvl>
    <w:lvl w:ilvl="1">
      <w:lvlJc w:val="left"/>
      <w:lvlText w:val="(%2)"/>
      <w:numFmt w:val="lowerLetter"/>
      <w:start w:val="1"/>
    </w:lvl>
  </w:abstractNum>
  <w:abstractNum w:abstractNumId="162">
    <w:nsid w:val="2123D5F2"/>
    <w:multiLevelType w:val="hybridMultilevel"/>
    <w:lvl w:ilvl="0">
      <w:lvlJc w:val="left"/>
      <w:lvlText w:val="•"/>
      <w:numFmt w:val="bullet"/>
      <w:start w:val="1"/>
    </w:lvl>
  </w:abstractNum>
  <w:abstractNum w:abstractNumId="163">
    <w:nsid w:val="135B8110"/>
    <w:multiLevelType w:val="hybridMultilevel"/>
    <w:lvl w:ilvl="0">
      <w:lvlJc w:val="left"/>
      <w:lvlText w:val="•"/>
      <w:numFmt w:val="bullet"/>
      <w:start w:val="1"/>
    </w:lvl>
  </w:abstractNum>
  <w:abstractNum w:abstractNumId="164">
    <w:nsid w:val="94927A8"/>
    <w:multiLevelType w:val="hybridMultilevel"/>
    <w:lvl w:ilvl="0">
      <w:lvlJc w:val="left"/>
      <w:lvlText w:val="•"/>
      <w:numFmt w:val="bullet"/>
      <w:start w:val="1"/>
    </w:lvl>
  </w:abstractNum>
  <w:abstractNum w:abstractNumId="165">
    <w:nsid w:val="DCDF8F6"/>
    <w:multiLevelType w:val="hybridMultilevel"/>
    <w:lvl w:ilvl="0">
      <w:lvlJc w:val="left"/>
      <w:lvlText w:val="•"/>
      <w:numFmt w:val="bullet"/>
      <w:start w:val="1"/>
    </w:lvl>
  </w:abstractNum>
  <w:abstractNum w:abstractNumId="166">
    <w:nsid w:val="52D7B105"/>
    <w:multiLevelType w:val="hybridMultilevel"/>
    <w:lvl w:ilvl="0">
      <w:lvlJc w:val="left"/>
      <w:lvlText w:val="•"/>
      <w:numFmt w:val="bullet"/>
      <w:start w:val="1"/>
    </w:lvl>
  </w:abstractNum>
  <w:abstractNum w:abstractNumId="167">
    <w:nsid w:val="2E8A6394"/>
    <w:multiLevelType w:val="hybridMultilevel"/>
    <w:lvl w:ilvl="0">
      <w:lvlJc w:val="left"/>
      <w:lvlText w:val="•"/>
      <w:numFmt w:val="bullet"/>
      <w:start w:val="1"/>
    </w:lvl>
  </w:abstractNum>
  <w:abstractNum w:abstractNumId="168">
    <w:nsid w:val="24E60401"/>
    <w:multiLevelType w:val="hybridMultilevel"/>
    <w:lvl w:ilvl="0">
      <w:lvlJc w:val="left"/>
      <w:lvlText w:val="•"/>
      <w:numFmt w:val="bullet"/>
      <w:start w:val="1"/>
    </w:lvl>
  </w:abstractNum>
  <w:abstractNum w:abstractNumId="169">
    <w:nsid w:val="2A6AD9BE"/>
    <w:multiLevelType w:val="hybridMultilevel"/>
    <w:lvl w:ilvl="0">
      <w:lvlJc w:val="left"/>
      <w:lvlText w:val="•"/>
      <w:numFmt w:val="bullet"/>
      <w:start w:val="1"/>
    </w:lvl>
  </w:abstractNum>
  <w:abstractNum w:abstractNumId="170">
    <w:nsid w:val="BAAC1B4"/>
    <w:multiLevelType w:val="hybridMultilevel"/>
    <w:lvl w:ilvl="0">
      <w:lvlJc w:val="left"/>
      <w:lvlText w:val="•"/>
      <w:numFmt w:val="bullet"/>
      <w:start w:val="1"/>
    </w:lvl>
  </w:abstractNum>
  <w:abstractNum w:abstractNumId="171">
    <w:nsid w:val="36B2ACBC"/>
    <w:multiLevelType w:val="hybridMultilevel"/>
    <w:lvl w:ilvl="0">
      <w:lvlJc w:val="left"/>
      <w:lvlText w:val="•"/>
      <w:numFmt w:val="bullet"/>
      <w:start w:val="1"/>
    </w:lvl>
  </w:abstractNum>
  <w:abstractNum w:abstractNumId="172">
    <w:nsid w:val="779D8544"/>
    <w:multiLevelType w:val="hybridMultilevel"/>
    <w:lvl w:ilvl="0">
      <w:lvlJc w:val="left"/>
      <w:lvlText w:val="•"/>
      <w:numFmt w:val="bullet"/>
      <w:start w:val="1"/>
    </w:lvl>
  </w:abstractNum>
  <w:abstractNum w:abstractNumId="173">
    <w:nsid w:val="4AB26E78"/>
    <w:multiLevelType w:val="hybridMultilevel"/>
    <w:lvl w:ilvl="0">
      <w:lvlJc w:val="left"/>
      <w:lvlText w:val="•"/>
      <w:numFmt w:val="bullet"/>
      <w:start w:val="1"/>
    </w:lvl>
  </w:abstractNum>
  <w:abstractNum w:abstractNumId="174">
    <w:nsid w:val="21FAA2FA"/>
    <w:multiLevelType w:val="hybridMultilevel"/>
    <w:lvl w:ilvl="0">
      <w:lvlJc w:val="left"/>
      <w:lvlText w:val="•"/>
      <w:numFmt w:val="bullet"/>
      <w:start w:val="1"/>
    </w:lvl>
  </w:abstractNum>
  <w:abstractNum w:abstractNumId="175">
    <w:nsid w:val="5451CF49"/>
    <w:multiLevelType w:val="hybridMultilevel"/>
    <w:lvl w:ilvl="0">
      <w:lvlJc w:val="left"/>
      <w:lvlText w:val="%1."/>
      <w:numFmt w:val="decimal"/>
      <w:start w:val="1"/>
    </w:lvl>
    <w:lvl w:ilvl="1">
      <w:lvlJc w:val="left"/>
      <w:lvlText w:val="(%2)"/>
      <w:numFmt w:val="lowerLetter"/>
      <w:start w:val="1"/>
    </w:lvl>
  </w:abstractNum>
  <w:abstractNum w:abstractNumId="176">
    <w:nsid w:val="6181EF6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66"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8" Type="http://schemas.openxmlformats.org/officeDocument/2006/relationships/image" Target="media/image221.png"/><Relationship Id="rId279" Type="http://schemas.openxmlformats.org/officeDocument/2006/relationships/image" Target="media/image222.png"/><Relationship Id="rId280" Type="http://schemas.openxmlformats.org/officeDocument/2006/relationships/image" Target="media/image223.png"/><Relationship Id="rId281"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84" Type="http://schemas.openxmlformats.org/officeDocument/2006/relationships/image" Target="media/image227.png"/><Relationship Id="rId285" Type="http://schemas.openxmlformats.org/officeDocument/2006/relationships/image" Target="media/image228.png"/><Relationship Id="rId286" Type="http://schemas.openxmlformats.org/officeDocument/2006/relationships/image" Target="media/image229.png"/><Relationship Id="rId287" Type="http://schemas.openxmlformats.org/officeDocument/2006/relationships/image" Target="media/image230.png"/><Relationship Id="rId288" Type="http://schemas.openxmlformats.org/officeDocument/2006/relationships/image" Target="media/image231.png"/><Relationship Id="rId289" Type="http://schemas.openxmlformats.org/officeDocument/2006/relationships/image" Target="media/image232.png"/><Relationship Id="rId290" Type="http://schemas.openxmlformats.org/officeDocument/2006/relationships/image" Target="media/image233.png"/><Relationship Id="rId291" Type="http://schemas.openxmlformats.org/officeDocument/2006/relationships/image" Target="media/image234.png"/><Relationship Id="rId292" Type="http://schemas.openxmlformats.org/officeDocument/2006/relationships/image" Target="media/image235.png"/><Relationship Id="rId293" Type="http://schemas.openxmlformats.org/officeDocument/2006/relationships/image" Target="media/image236.png"/><Relationship Id="rId294" Type="http://schemas.openxmlformats.org/officeDocument/2006/relationships/image" Target="media/image237.png"/><Relationship Id="rId295" Type="http://schemas.openxmlformats.org/officeDocument/2006/relationships/image" Target="media/image238.png"/><Relationship Id="rId296" Type="http://schemas.openxmlformats.org/officeDocument/2006/relationships/image" Target="media/image239.png"/><Relationship Id="rId297"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4" Type="http://schemas.openxmlformats.org/officeDocument/2006/relationships/image" Target="media/image247.png"/><Relationship Id="rId305" Type="http://schemas.openxmlformats.org/officeDocument/2006/relationships/image" Target="media/image248.png"/><Relationship Id="rId306" Type="http://schemas.openxmlformats.org/officeDocument/2006/relationships/image" Target="media/image249.png"/><Relationship Id="rId307" Type="http://schemas.openxmlformats.org/officeDocument/2006/relationships/image" Target="media/image250.png"/><Relationship Id="rId308" Type="http://schemas.openxmlformats.org/officeDocument/2006/relationships/image" Target="media/image251.png"/><Relationship Id="rId309" Type="http://schemas.openxmlformats.org/officeDocument/2006/relationships/image" Target="media/image252.png"/><Relationship Id="rId310" Type="http://schemas.openxmlformats.org/officeDocument/2006/relationships/image" Target="media/image253.png"/><Relationship Id="rId311" Type="http://schemas.openxmlformats.org/officeDocument/2006/relationships/image" Target="media/image254.png"/><Relationship Id="rId312" Type="http://schemas.openxmlformats.org/officeDocument/2006/relationships/image" Target="media/image255.png"/><Relationship Id="rId313" Type="http://schemas.openxmlformats.org/officeDocument/2006/relationships/image" Target="media/image256.png"/><Relationship Id="rId314" Type="http://schemas.openxmlformats.org/officeDocument/2006/relationships/image" Target="media/image257.png"/><Relationship Id="rId315" Type="http://schemas.openxmlformats.org/officeDocument/2006/relationships/image" Target="media/image258.png"/><Relationship Id="rId316" Type="http://schemas.openxmlformats.org/officeDocument/2006/relationships/image" Target="media/image259.png"/><Relationship Id="rId317" Type="http://schemas.openxmlformats.org/officeDocument/2006/relationships/image" Target="media/image260.png"/><Relationship Id="rId318" Type="http://schemas.openxmlformats.org/officeDocument/2006/relationships/image" Target="media/image261.png"/><Relationship Id="rId319" Type="http://schemas.openxmlformats.org/officeDocument/2006/relationships/image" Target="media/image262.png"/><Relationship Id="rId320" Type="http://schemas.openxmlformats.org/officeDocument/2006/relationships/image" Target="media/image263.png"/><Relationship Id="rId321" Type="http://schemas.openxmlformats.org/officeDocument/2006/relationships/image" Target="media/image264.png"/><Relationship Id="rId322" Type="http://schemas.openxmlformats.org/officeDocument/2006/relationships/image" Target="media/image265.png"/><Relationship Id="rId323" Type="http://schemas.openxmlformats.org/officeDocument/2006/relationships/image" Target="media/image266.png"/><Relationship Id="rId324" Type="http://schemas.openxmlformats.org/officeDocument/2006/relationships/image" Target="media/image267.png"/><Relationship Id="rId325" Type="http://schemas.openxmlformats.org/officeDocument/2006/relationships/image" Target="media/image268.png"/><Relationship Id="rId326" Type="http://schemas.openxmlformats.org/officeDocument/2006/relationships/image" Target="media/image269.png"/><Relationship Id="rId327" Type="http://schemas.openxmlformats.org/officeDocument/2006/relationships/image" Target="media/image270.png"/><Relationship Id="rId328" Type="http://schemas.openxmlformats.org/officeDocument/2006/relationships/image" Target="media/image271.png"/><Relationship Id="rId329" Type="http://schemas.openxmlformats.org/officeDocument/2006/relationships/image" Target="media/image272.png"/><Relationship Id="rId330" Type="http://schemas.openxmlformats.org/officeDocument/2006/relationships/image" Target="media/image273.png"/><Relationship Id="rId331" Type="http://schemas.openxmlformats.org/officeDocument/2006/relationships/image" Target="media/image274.png"/><Relationship Id="rId332" Type="http://schemas.openxmlformats.org/officeDocument/2006/relationships/image" Target="media/image275.png"/><Relationship Id="rId333" Type="http://schemas.openxmlformats.org/officeDocument/2006/relationships/image" Target="media/image276.png"/><Relationship Id="rId334" Type="http://schemas.openxmlformats.org/officeDocument/2006/relationships/image" Target="media/image277.png"/><Relationship Id="rId335" Type="http://schemas.openxmlformats.org/officeDocument/2006/relationships/image" Target="media/image278.png"/><Relationship Id="rId336" Type="http://schemas.openxmlformats.org/officeDocument/2006/relationships/image" Target="media/image279.png"/><Relationship Id="rId337" Type="http://schemas.openxmlformats.org/officeDocument/2006/relationships/image" Target="media/image280.png"/><Relationship Id="rId338" Type="http://schemas.openxmlformats.org/officeDocument/2006/relationships/image" Target="media/image281.png"/><Relationship Id="rId339" Type="http://schemas.openxmlformats.org/officeDocument/2006/relationships/image" Target="media/image282.png"/><Relationship Id="rId340" Type="http://schemas.openxmlformats.org/officeDocument/2006/relationships/image" Target="media/image283.png"/><Relationship Id="rId341" Type="http://schemas.openxmlformats.org/officeDocument/2006/relationships/image" Target="media/image284.png"/><Relationship Id="rId342" Type="http://schemas.openxmlformats.org/officeDocument/2006/relationships/image" Target="media/image285.png"/><Relationship Id="rId343" Type="http://schemas.openxmlformats.org/officeDocument/2006/relationships/image" Target="media/image286.png"/><Relationship Id="rId344" Type="http://schemas.openxmlformats.org/officeDocument/2006/relationships/image" Target="media/image287.png"/><Relationship Id="rId345" Type="http://schemas.openxmlformats.org/officeDocument/2006/relationships/image" Target="media/image288.png"/><Relationship Id="rId346" Type="http://schemas.openxmlformats.org/officeDocument/2006/relationships/image" Target="media/image289.png"/><Relationship Id="rId347" Type="http://schemas.openxmlformats.org/officeDocument/2006/relationships/image" Target="media/image290.png"/><Relationship Id="rId348" Type="http://schemas.openxmlformats.org/officeDocument/2006/relationships/image" Target="media/image291.png"/><Relationship Id="rId349" Type="http://schemas.openxmlformats.org/officeDocument/2006/relationships/image" Target="media/image292.png"/><Relationship Id="rId350" Type="http://schemas.openxmlformats.org/officeDocument/2006/relationships/image" Target="media/image293.png"/><Relationship Id="rId351" Type="http://schemas.openxmlformats.org/officeDocument/2006/relationships/image" Target="media/image294.png"/><Relationship Id="rId352" Type="http://schemas.openxmlformats.org/officeDocument/2006/relationships/image" Target="media/image295.png"/><Relationship Id="rId353" Type="http://schemas.openxmlformats.org/officeDocument/2006/relationships/image" Target="media/image296.png"/><Relationship Id="rId354" Type="http://schemas.openxmlformats.org/officeDocument/2006/relationships/image" Target="media/image297.png"/><Relationship Id="rId355" Type="http://schemas.openxmlformats.org/officeDocument/2006/relationships/image" Target="media/image298.png"/><Relationship Id="rId356" Type="http://schemas.openxmlformats.org/officeDocument/2006/relationships/image" Target="media/image299.png"/><Relationship Id="rId357" Type="http://schemas.openxmlformats.org/officeDocument/2006/relationships/image" Target="media/image300.png"/><Relationship Id="rId358" Type="http://schemas.openxmlformats.org/officeDocument/2006/relationships/image" Target="media/image301.png"/><Relationship Id="rId359" Type="http://schemas.openxmlformats.org/officeDocument/2006/relationships/image" Target="media/image302.png"/><Relationship Id="rId360" Type="http://schemas.openxmlformats.org/officeDocument/2006/relationships/image" Target="media/image303.png"/><Relationship Id="rId361" Type="http://schemas.openxmlformats.org/officeDocument/2006/relationships/image" Target="media/image304.png"/><Relationship Id="rId362" Type="http://schemas.openxmlformats.org/officeDocument/2006/relationships/image" Target="media/image305.png"/><Relationship Id="rId363" Type="http://schemas.openxmlformats.org/officeDocument/2006/relationships/image" Target="media/image306.png"/><Relationship Id="rId364" Type="http://schemas.openxmlformats.org/officeDocument/2006/relationships/image" Target="media/image307.png"/><Relationship Id="rId365" Type="http://schemas.openxmlformats.org/officeDocument/2006/relationships/image" Target="media/image308.png"/><Relationship Id="rId366" Type="http://schemas.openxmlformats.org/officeDocument/2006/relationships/image" Target="media/image309.png"/><Relationship Id="rId367" Type="http://schemas.openxmlformats.org/officeDocument/2006/relationships/image" Target="media/image310.png"/><Relationship Id="rId368" Type="http://schemas.openxmlformats.org/officeDocument/2006/relationships/image" Target="media/image311.png"/><Relationship Id="rId369" Type="http://schemas.openxmlformats.org/officeDocument/2006/relationships/image" Target="media/image312.png"/><Relationship Id="rId370" Type="http://schemas.openxmlformats.org/officeDocument/2006/relationships/image" Target="media/image313.png"/><Relationship Id="rId371" Type="http://schemas.openxmlformats.org/officeDocument/2006/relationships/image" Target="media/image314.png"/><Relationship Id="rId372" Type="http://schemas.openxmlformats.org/officeDocument/2006/relationships/image" Target="media/image315.png"/><Relationship Id="rId373" Type="http://schemas.openxmlformats.org/officeDocument/2006/relationships/image" Target="media/image316.png"/><Relationship Id="rId374" Type="http://schemas.openxmlformats.org/officeDocument/2006/relationships/image" Target="media/image317.png"/><Relationship Id="rId375" Type="http://schemas.openxmlformats.org/officeDocument/2006/relationships/image" Target="media/image318.png"/><Relationship Id="rId376" Type="http://schemas.openxmlformats.org/officeDocument/2006/relationships/image" Target="media/image319.png"/><Relationship Id="rId377" Type="http://schemas.openxmlformats.org/officeDocument/2006/relationships/image" Target="media/image320.png"/><Relationship Id="rId378" Type="http://schemas.openxmlformats.org/officeDocument/2006/relationships/image" Target="media/image321.png"/><Relationship Id="rId379" Type="http://schemas.openxmlformats.org/officeDocument/2006/relationships/image" Target="media/image322.png"/><Relationship Id="rId380" Type="http://schemas.openxmlformats.org/officeDocument/2006/relationships/image" Target="media/image323.png"/><Relationship Id="rId381" Type="http://schemas.openxmlformats.org/officeDocument/2006/relationships/image" Target="media/image324.png"/><Relationship Id="rId382" Type="http://schemas.openxmlformats.org/officeDocument/2006/relationships/image" Target="media/image325.png"/><Relationship Id="rId383" Type="http://schemas.openxmlformats.org/officeDocument/2006/relationships/image" Target="media/image326.png"/><Relationship Id="rId384" Type="http://schemas.openxmlformats.org/officeDocument/2006/relationships/image" Target="media/image327.png"/><Relationship Id="rId385" Type="http://schemas.openxmlformats.org/officeDocument/2006/relationships/image" Target="media/image328.png"/><Relationship Id="rId386" Type="http://schemas.openxmlformats.org/officeDocument/2006/relationships/image" Target="media/image329.png"/><Relationship Id="rId387" Type="http://schemas.openxmlformats.org/officeDocument/2006/relationships/image" Target="media/image330.png"/><Relationship Id="rId388" Type="http://schemas.openxmlformats.org/officeDocument/2006/relationships/image" Target="media/image331.png"/><Relationship Id="rId389" Type="http://schemas.openxmlformats.org/officeDocument/2006/relationships/image" Target="media/image332.png"/><Relationship Id="rId390" Type="http://schemas.openxmlformats.org/officeDocument/2006/relationships/image" Target="media/image333.png"/><Relationship Id="rId391" Type="http://schemas.openxmlformats.org/officeDocument/2006/relationships/image" Target="media/image334.png"/><Relationship Id="rId392" Type="http://schemas.openxmlformats.org/officeDocument/2006/relationships/image" Target="media/image335.png"/><Relationship Id="rId393" Type="http://schemas.openxmlformats.org/officeDocument/2006/relationships/image" Target="media/image336.png"/><Relationship Id="rId394" Type="http://schemas.openxmlformats.org/officeDocument/2006/relationships/image" Target="media/image337.png"/><Relationship Id="rId395" Type="http://schemas.openxmlformats.org/officeDocument/2006/relationships/image" Target="media/image338.png"/><Relationship Id="rId396" Type="http://schemas.openxmlformats.org/officeDocument/2006/relationships/image" Target="media/image339.png"/><Relationship Id="rId397" Type="http://schemas.openxmlformats.org/officeDocument/2006/relationships/image" Target="media/image340.png"/><Relationship Id="rId398" Type="http://schemas.openxmlformats.org/officeDocument/2006/relationships/image" Target="media/image341.png"/><Relationship Id="rId399" Type="http://schemas.openxmlformats.org/officeDocument/2006/relationships/image" Target="media/image342.png"/><Relationship Id="rId400" Type="http://schemas.openxmlformats.org/officeDocument/2006/relationships/image" Target="media/image343.png"/><Relationship Id="rId401" Type="http://schemas.openxmlformats.org/officeDocument/2006/relationships/image" Target="media/image344.png"/><Relationship Id="rId402" Type="http://schemas.openxmlformats.org/officeDocument/2006/relationships/image" Target="media/image345.png"/><Relationship Id="rId403" Type="http://schemas.openxmlformats.org/officeDocument/2006/relationships/image" Target="media/image346.png"/><Relationship Id="rId404" Type="http://schemas.openxmlformats.org/officeDocument/2006/relationships/image" Target="media/image347.png"/><Relationship Id="rId405" Type="http://schemas.openxmlformats.org/officeDocument/2006/relationships/image" Target="media/image348.png"/><Relationship Id="rId406" Type="http://schemas.openxmlformats.org/officeDocument/2006/relationships/image" Target="media/image349.png"/><Relationship Id="rId223" Type="http://schemas.openxmlformats.org/officeDocument/2006/relationships/hyperlink" Target="http://www.sec.gov/Archives/edgar/data/875045/000087504513000010/apa.htm" TargetMode="External"/><Relationship Id="rId224" Type="http://schemas.openxmlformats.org/officeDocument/2006/relationships/hyperlink" Target="http://www.sec.gov/Archives/edgar/data/875045/000087504517000007/ex21_separationxagreement.htm" TargetMode="External"/><Relationship Id="rId225" Type="http://schemas.openxmlformats.org/officeDocument/2006/relationships/hyperlink" Target="http://www.sec.gov/Archives/edgar/data/875045/000119312512312222/d362642dex31.htm" TargetMode="External"/><Relationship Id="rId226" Type="http://schemas.openxmlformats.org/officeDocument/2006/relationships/hyperlink" Target="http://www.sec.gov/Archives/edgar/data/875045/000087504515000008/biib-2015x327xexhibit31.htm" TargetMode="External"/><Relationship Id="rId227" Type="http://schemas.openxmlformats.org/officeDocument/2006/relationships/hyperlink" Target="http://www.sec.gov/Archives/edgar/data/875045/000119312517200127/d406783dex31.htm" TargetMode="External"/><Relationship Id="rId228" Type="http://schemas.openxmlformats.org/officeDocument/2006/relationships/hyperlink" Target="http://www.sec.gov/Archives/edgar/data/875045/000119312515320650/d78596dex41.htm" TargetMode="External"/><Relationship Id="rId229" Type="http://schemas.openxmlformats.org/officeDocument/2006/relationships/hyperlink" Target="http://www.sec.gov/Archives/edgar/data/875045/000119312515320650/d78596dex42.htm" TargetMode="External"/><Relationship Id="rId230" Type="http://schemas.openxmlformats.org/officeDocument/2006/relationships/hyperlink" Target="http://www.sec.gov/Archives/edgar/data/875045/000087504515000028/creditagreement2015biogen.htm" TargetMode="External"/><Relationship Id="rId231" Type="http://schemas.openxmlformats.org/officeDocument/2006/relationships/hyperlink" Target="http://www.sec.gov/Archives/edgar/data/875045/000119312520022940/d854655dex101.htm" TargetMode="External"/><Relationship Id="rId232" Type="http://schemas.openxmlformats.org/officeDocument/2006/relationships/hyperlink" Target="http://www.sec.gov/Archives/edgar/data/875045/000095012311009300/b83162exv10w5.htm" TargetMode="External"/><Relationship Id="rId233" Type="http://schemas.openxmlformats.org/officeDocument/2006/relationships/hyperlink" Target="http://www.sec.gov/Archives/edgar/data/875045/000095012311009300/b83162exv10w6.htm" TargetMode="External"/><Relationship Id="rId234" Type="http://schemas.openxmlformats.org/officeDocument/2006/relationships/hyperlink" Target="http://www.sec.gov/Archives/edgar/data/875045/000095015717000082/ex10-1.htm" TargetMode="External"/><Relationship Id="rId235" Type="http://schemas.openxmlformats.org/officeDocument/2006/relationships/hyperlink" Target="http://www.sec.gov/Archives/edgar/data/875045/000119312517139450/d43428ddef14a.htm#toc43428_63" TargetMode="External"/><Relationship Id="rId236" Type="http://schemas.openxmlformats.org/officeDocument/2006/relationships/hyperlink" Target="http://www.sec.gov/Archives/edgar/data/875045/000087504517000024/biib-2017630xexhibit102.htm" TargetMode="External"/><Relationship Id="rId237" Type="http://schemas.openxmlformats.org/officeDocument/2006/relationships/hyperlink" Target="http://www.sec.gov/Archives/edgar/data/875045/000087504517000024/biib-2017630xexhibit103.htm" TargetMode="External"/><Relationship Id="rId238" Type="http://schemas.openxmlformats.org/officeDocument/2006/relationships/hyperlink" Target="http://www.sec.gov/Archives/edgar/data/875045/000087504517000024/biib-2017630xexhibit104.htm" TargetMode="External"/><Relationship Id="rId239" Type="http://schemas.openxmlformats.org/officeDocument/2006/relationships/hyperlink" Target="http://www.sec.gov/Archives/edgar/data/875045/000087504517000024/biib-2017630xexhibit105.htm" TargetMode="External"/><Relationship Id="rId240" Type="http://schemas.openxmlformats.org/officeDocument/2006/relationships/hyperlink" Target="http://www.sec.gov/Archives/edgar/data/875045/000087504518000005/biib-20171231xex1010.htm" TargetMode="External"/><Relationship Id="rId241" Type="http://schemas.openxmlformats.org/officeDocument/2006/relationships/hyperlink" Target="http://www.sec.gov/Archives/edgar/data/875045/000087504518000005/biib-20171231xex1011.htm" TargetMode="External"/><Relationship Id="rId244" Type="http://schemas.openxmlformats.org/officeDocument/2006/relationships/hyperlink" Target="http://www.sec.gov/Archives/edgar/data/875045/000087504518000010/biib-2018331xex101.htm" TargetMode="External"/><Relationship Id="rId245" Type="http://schemas.openxmlformats.org/officeDocument/2006/relationships/hyperlink" Target="http://www.sec.gov/Archives/edgar/data/875045/000087504518000010/biib-2018331xex102.htm" TargetMode="External"/><Relationship Id="rId246" Type="http://schemas.openxmlformats.org/officeDocument/2006/relationships/hyperlink" Target="http://www.sec.gov/Archives/edgar/data/875045/000087504518000010/biib-2018331xex103.htm" TargetMode="External"/><Relationship Id="rId247" Type="http://schemas.openxmlformats.org/officeDocument/2006/relationships/hyperlink" Target="http://www.sec.gov/Archives/edgar/data/875045/000087504519000029/biib-2019630xex101.htm" TargetMode="External"/><Relationship Id="rId248" Type="http://schemas.openxmlformats.org/officeDocument/2006/relationships/hyperlink" Target="http://www.sec.gov/Archives/edgar/data/875045/000087504519000029/biib-2019630xex102.htm" TargetMode="External"/><Relationship Id="rId249" Type="http://schemas.openxmlformats.org/officeDocument/2006/relationships/hyperlink" Target="http://www.sec.gov/Archives/edgar/data/875045/000087504519000029/biib-2019630xex103.htm" TargetMode="External"/><Relationship Id="rId250" Type="http://schemas.openxmlformats.org/officeDocument/2006/relationships/hyperlink" Target="http://www.sec.gov/Archives/edgar/data/875045/000087504514000011/biib-2014331xex101.htm" TargetMode="External"/><Relationship Id="rId251" Type="http://schemas.openxmlformats.org/officeDocument/2006/relationships/hyperlink" Target="http://www.sec.gov/Archives/edgar/data/875045/000087504514000011/biib-2014331xex102.htm" TargetMode="External"/><Relationship Id="rId252" Type="http://schemas.openxmlformats.org/officeDocument/2006/relationships/hyperlink" Target="http://www.sec.gov/Archives/edgar/data/875045/000087504514000011/biib-2014331xex103.htm" TargetMode="External"/><Relationship Id="rId253" Type="http://schemas.openxmlformats.org/officeDocument/2006/relationships/hyperlink" Target="http://www.sec.gov/Archives/edgar/data/875045/000095013508005246/b71469biexv10w1.htm" TargetMode="External"/><Relationship Id="rId254" Type="http://schemas.openxmlformats.org/officeDocument/2006/relationships/hyperlink" Target="http://www.sec.gov/Archives/edgar/data/875045/000095013508005246/b71469biexv10w2.htm" TargetMode="External"/><Relationship Id="rId255" Type="http://schemas.openxmlformats.org/officeDocument/2006/relationships/hyperlink" Target="http://www.sec.gov/Archives/edgar/data/875045/000095012310036233/b79987exv10w1.htm" TargetMode="External"/><Relationship Id="rId256" Type="http://schemas.openxmlformats.org/officeDocument/2006/relationships/hyperlink" Target="http://www.sec.gov/Archives/edgar/data/875045/000087504515000014/biib-2015331xex101.htm" TargetMode="External"/><Relationship Id="rId257" Type="http://schemas.openxmlformats.org/officeDocument/2006/relationships/hyperlink" Target="http://www.sec.gov/Archives/edgar/data/875045/000119312515159387/d786327ddef14a.htm#toc786327_57" TargetMode="External"/><Relationship Id="rId258" Type="http://schemas.openxmlformats.org/officeDocument/2006/relationships/hyperlink" Target="http://www.sec.gov/Archives/edgar/data/875045/000095013508003542/b67068dfdefc14a.htm#152" TargetMode="External"/><Relationship Id="rId259" Type="http://schemas.openxmlformats.org/officeDocument/2006/relationships/hyperlink" Target="http://www.sec.gov/Archives/edgar/data/875045/000087504519000017/biib-2019331xex101.htm" TargetMode="External"/><Relationship Id="rId260" Type="http://schemas.openxmlformats.org/officeDocument/2006/relationships/hyperlink" Target="http://www.sec.gov/Archives/edgar/data/875045/000095013504001180/b48790biexv10w13.txt" TargetMode="External"/><Relationship Id="rId261" Type="http://schemas.openxmlformats.org/officeDocument/2006/relationships/hyperlink" Target="http://www.sec.gov/Archives/edgar/data/875045/000087504516000042/biib-20151231xex1023.htm" TargetMode="External"/><Relationship Id="rId262" Type="http://schemas.openxmlformats.org/officeDocument/2006/relationships/hyperlink" Target="http://www.sec.gov/Archives/edgar/data/875045/000087504516000042/biib-20151231xex1024.htm" TargetMode="External"/><Relationship Id="rId263" Type="http://schemas.openxmlformats.org/officeDocument/2006/relationships/hyperlink" Target="http://www.sec.gov/Archives/edgar/data/875045/000087504519000029/biib-2019630xex104.htm" TargetMode="External"/><Relationship Id="rId264" Type="http://schemas.openxmlformats.org/officeDocument/2006/relationships/hyperlink" Target="https://www.sec.gov/Archives/edgar/data/875045/000087504520000036/exhibit101-severancepo.htm" TargetMode="External"/><Relationship Id="rId265" Type="http://schemas.openxmlformats.org/officeDocument/2006/relationships/hyperlink" Target="http://www.sec.gov/Archives/edgar/data/875045/000087504519000041/biib-2019930xex101.htm" TargetMode="External"/><Relationship Id="rId267" Type="http://schemas.openxmlformats.org/officeDocument/2006/relationships/hyperlink" Target="http://www.sec.gov/Archives/edgar/data/875045/000095012311057276/b86869exv10w1.htm" TargetMode="External"/><Relationship Id="rId268" Type="http://schemas.openxmlformats.org/officeDocument/2006/relationships/hyperlink" Target="http://www.sec.gov/Archives/edgar/data/875045/000087504516000076/biogenemploymentagreementf.htm" TargetMode="External"/><Relationship Id="rId269" Type="http://schemas.openxmlformats.org/officeDocument/2006/relationships/hyperlink" Target="https://www.sec.gov/Archives/edgar/data/875045/000087504520000036/exhibit102-mcdonnellof.htm" TargetMode="External"/><Relationship Id="rId270" Type="http://schemas.openxmlformats.org/officeDocument/2006/relationships/hyperlink" Target="http://www.sec.gov/Archives/edgar/data/875045/000095012310010528/b77985exv10w58.htm" TargetMode="External"/><Relationship Id="rId271" Type="http://schemas.openxmlformats.org/officeDocument/2006/relationships/hyperlink" Target="https://www.sec.gov/Archives/edgar/data/875045/000087504513000027/biib-2013630xex101.htm" TargetMode="External"/><Relationship Id="rId272" Type="http://schemas.openxmlformats.org/officeDocument/2006/relationships/hyperlink" Target="https://www.sec.gov/Archives/edgar/data/875045/000087504516000042/biib-20151231xex1037.htm" TargetMode="External"/><Relationship Id="rId273" Type="http://schemas.openxmlformats.org/officeDocument/2006/relationships/hyperlink" Target="http://www.sec.gov/Archives/edgar/data/875045/000087504518000005/biib-20171231xex1031.htm" TargetMode="External"/><Relationship Id="rId274" Type="http://schemas.openxmlformats.org/officeDocument/2006/relationships/hyperlink" Target="https://www.sec.gov/Archives/edgar/data/875045/000087504520000036/exhibit103-capellosepa.htm" TargetMode="External"/><Relationship Id="rId275" Type="http://schemas.openxmlformats.org/officeDocument/2006/relationships/hyperlink" Target="http://www.sec.gov/Archives/edgar/data/875045/000087504518000005/biib-20171231x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2021-02-03T15:36:49Z</dcterms:created>
  <dcterms:modified xsi:type="dcterms:W3CDTF">2021-02-03T15:36:49Z</dcterms:modified>
</cp:coreProperties>
</file>