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Franklin Gothic Book;sans-serif" w:hAnsi="Franklin Gothic Book;sans-serif"/>
          <w:b/>
          <w:color w:val="000000"/>
          <w:sz w:val="28"/>
        </w:rPr>
      </w:pPr>
      <w:r>
        <w:rPr>
          <w:rFonts w:ascii="Franklin Gothic Book;sans-serif" w:hAnsi="Franklin Gothic Book;sans-serif"/>
          <w:b/>
          <w:color w:val="000000"/>
          <w:sz w:val="28"/>
        </w:rPr>
        <w:t>UNITED STATES</w:t>
      </w:r>
    </w:p>
    <w:p>
      <w:pPr>
        <w:pStyle w:val="TextBody"/>
        <w:bidi w:val="0"/>
        <w:spacing w:lineRule="auto" w:line="288" w:before="0" w:after="0"/>
        <w:jc w:val="center"/>
        <w:rPr>
          <w:rFonts w:ascii="Franklin Gothic Book;sans-serif" w:hAnsi="Franklin Gothic Book;sans-serif"/>
          <w:b/>
          <w:color w:val="000000"/>
          <w:sz w:val="28"/>
        </w:rPr>
      </w:pPr>
      <w:r>
        <w:rPr>
          <w:rFonts w:ascii="Franklin Gothic Book;sans-serif" w:hAnsi="Franklin Gothic Book;sans-serif"/>
          <w:b/>
          <w:color w:val="000000"/>
          <w:sz w:val="28"/>
        </w:rPr>
        <w:t>SECURITIES AND EXCHANGE COMMISSION</w:t>
      </w:r>
    </w:p>
    <w:p>
      <w:pPr>
        <w:pStyle w:val="TextBody"/>
        <w:bidi w:val="0"/>
        <w:spacing w:lineRule="auto" w:line="288" w:before="0" w:after="0"/>
        <w:jc w:val="center"/>
        <w:rPr>
          <w:rFonts w:ascii="Franklin Gothic Book;sans-serif" w:hAnsi="Franklin Gothic Book;sans-serif"/>
          <w:b/>
          <w:color w:val="000000"/>
          <w:sz w:val="24"/>
        </w:rPr>
      </w:pPr>
      <w:r>
        <w:rPr>
          <w:rFonts w:ascii="Franklin Gothic Book;sans-serif" w:hAnsi="Franklin Gothic Book;sans-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color w:val="000000"/>
          <w:sz w:val="36"/>
        </w:rPr>
      </w:pPr>
      <w:r>
        <w:rPr>
          <w:rFonts w:ascii="Franklin Gothic Book;sans-serif" w:hAnsi="Franklin Gothic Book;sans-serif"/>
          <w:b/>
          <w:color w:val="000000"/>
          <w:sz w:val="36"/>
        </w:rPr>
        <w:t xml:space="preserve">FORM 8-K </w:t>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color w:val="000000"/>
          <w:sz w:val="24"/>
        </w:rPr>
      </w:pPr>
      <w:r>
        <w:rPr>
          <w:rFonts w:ascii="Franklin Gothic Book;sans-serif" w:hAnsi="Franklin Gothic Book;sans-serif"/>
          <w:b/>
          <w:color w:val="000000"/>
          <w:sz w:val="24"/>
        </w:rPr>
        <w:t>CURRENT REPORT</w:t>
      </w:r>
    </w:p>
    <w:p>
      <w:pPr>
        <w:pStyle w:val="TextBody"/>
        <w:bidi w:val="0"/>
        <w:spacing w:lineRule="auto" w:line="288" w:before="0" w:after="0"/>
        <w:jc w:val="center"/>
        <w:rPr>
          <w:rFonts w:ascii="Franklin Gothic Book;sans-serif" w:hAnsi="Franklin Gothic Book;sans-serif"/>
          <w:b/>
          <w:color w:val="000000"/>
          <w:sz w:val="24"/>
        </w:rPr>
      </w:pPr>
      <w:r>
        <w:rPr>
          <w:rFonts w:ascii="Franklin Gothic Book;sans-serif" w:hAnsi="Franklin Gothic Book;sans-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Franklin Gothic Book;sans-serif" w:hAnsi="Franklin Gothic Book;sans-serif"/>
          <w:b w:val="false"/>
          <w:color w:val="000000"/>
          <w:sz w:val="24"/>
        </w:rPr>
        <w:t xml:space="preserve">Date of Report (Date of earliest event reported): </w:t>
      </w:r>
      <w:r>
        <w:rPr>
          <w:rFonts w:ascii="Franklin Gothic Book;sans-serif" w:hAnsi="Franklin Gothic Book;sans-serif"/>
          <w:b/>
          <w:color w:val="000000"/>
          <w:sz w:val="24"/>
        </w:rPr>
        <w:t>April 24, 2024</w:t>
      </w:r>
      <w:r>
        <w:rPr>
          <w:color w:val="000000"/>
        </w:rPr>
        <w:t xml:space="preserve"> </w:t>
      </w:r>
    </w:p>
    <w:p>
      <w:pPr>
        <w:pStyle w:val="TextBody"/>
        <w:bidi w:val="0"/>
        <w:spacing w:lineRule="auto" w:line="288" w:before="100" w:after="100"/>
        <w:jc w:val="center"/>
        <w:rPr/>
      </w:pPr>
      <w:r>
        <w:rPr>
          <w:rFonts w:ascii="Franklin Gothic Book;sans-serif" w:hAnsi="Franklin Gothic Book;sans-serif"/>
          <w:b/>
          <w:color w:val="000000"/>
          <w:sz w:val="48"/>
        </w:rPr>
        <w:t>BIOGEN INC.</w:t>
      </w:r>
      <w:r>
        <w:rPr>
          <w:color w:val="000000"/>
        </w:rPr>
        <w:t xml:space="preserve"> </w:t>
      </w:r>
    </w:p>
    <w:p>
      <w:pPr>
        <w:pStyle w:val="TextBody"/>
        <w:bidi w:val="0"/>
        <w:spacing w:lineRule="auto" w:line="288" w:before="100" w:after="100"/>
        <w:jc w:val="center"/>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 xml:space="preserve">(Exact name of registrant as specified in its charter) </w:t>
      </w:r>
    </w:p>
    <w:tbl>
      <w:tblPr>
        <w:tblW w:w="8879" w:type="dxa"/>
        <w:jc w:val="center"/>
        <w:tblInd w:w="0" w:type="dxa"/>
        <w:tblLayout w:type="fixed"/>
        <w:tblCellMar>
          <w:top w:w="28" w:type="dxa"/>
          <w:left w:w="28" w:type="dxa"/>
          <w:bottom w:w="28" w:type="dxa"/>
          <w:right w:w="28" w:type="dxa"/>
        </w:tblCellMar>
      </w:tblPr>
      <w:tblGrid>
        <w:gridCol w:w="1352"/>
        <w:gridCol w:w="1187"/>
        <w:gridCol w:w="1196"/>
        <w:gridCol w:w="767"/>
        <w:gridCol w:w="767"/>
        <w:gridCol w:w="775"/>
        <w:gridCol w:w="831"/>
        <w:gridCol w:w="831"/>
        <w:gridCol w:w="1173"/>
      </w:tblGrid>
      <w:tr>
        <w:trPr/>
        <w:tc>
          <w:tcPr>
            <w:tcW w:w="135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Delaware</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0-19311</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33-0112644</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(State or other jurisdiction of incorporation)</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(Commission File Number)</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Franklin Gothic Book;sans-serif" w:hAnsi="Franklin Gothic Book;sans-serif"/>
          <w:b/>
          <w:color w:val="000000"/>
          <w:sz w:val="20"/>
        </w:rPr>
      </w:pPr>
      <w:r>
        <w:rPr>
          <w:rFonts w:ascii="Franklin Gothic Book;sans-serif" w:hAnsi="Franklin Gothic Book;sans-serif"/>
          <w:b/>
          <w:color w:val="000000"/>
          <w:sz w:val="20"/>
        </w:rPr>
        <w:t xml:space="preserve">225 Binney Street, Cambridge, Massachusetts 02142 </w:t>
      </w:r>
    </w:p>
    <w:p>
      <w:pPr>
        <w:pStyle w:val="TextBody"/>
        <w:bidi w:val="0"/>
        <w:spacing w:lineRule="auto" w:line="288" w:before="0" w:after="0"/>
        <w:jc w:val="center"/>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(Address of principal executive offices; Zip Code)</w:t>
      </w:r>
    </w:p>
    <w:p>
      <w:pPr>
        <w:pStyle w:val="TextBody"/>
        <w:bidi w:val="0"/>
        <w:spacing w:lineRule="auto" w:line="288" w:before="0" w:after="0"/>
        <w:jc w:val="left"/>
        <w:rPr>
          <w:color w:val="000000"/>
        </w:rPr>
      </w:pPr>
      <w:r>
        <w:rPr>
          <w:color w:val="000000"/>
        </w:rPr>
        <w:t>    </w:t>
      </w:r>
    </w:p>
    <w:p>
      <w:pPr>
        <w:pStyle w:val="TextBody"/>
        <w:bidi w:val="0"/>
        <w:spacing w:lineRule="auto" w:line="288" w:before="100" w:after="100"/>
        <w:jc w:val="center"/>
        <w:rPr/>
      </w:pPr>
      <w:r>
        <w:rPr>
          <w:rFonts w:ascii="Franklin Gothic Book;sans-serif" w:hAnsi="Franklin Gothic Book;sans-serif"/>
          <w:b w:val="false"/>
          <w:color w:val="000000"/>
          <w:sz w:val="20"/>
        </w:rPr>
        <w:t xml:space="preserve">Registrant’s telephone number, including area code: </w:t>
      </w:r>
      <w:r>
        <w:rPr>
          <w:rFonts w:ascii="Franklin Gothic Book;sans-serif" w:hAnsi="Franklin Gothic Book;sans-serif"/>
          <w:b/>
          <w:color w:val="000000"/>
          <w:sz w:val="20"/>
        </w:rPr>
        <w:t>(617) 679-2000</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(Former name or former address, if changed since last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Franklin Gothic Book;sans-serif" w:hAnsi="Franklin Gothic Book;sans-serif"/>
          <w:b w:val="false"/>
          <w:color w:val="000000"/>
          <w:sz w:val="20"/>
        </w:rPr>
        <w:t>Written communications pursuant to Rule 425 under the Securities Act (17 CFR 230.425)</w:t>
      </w:r>
    </w:p>
    <w:p>
      <w:pPr>
        <w:pStyle w:val="TextBody"/>
        <w:bidi w:val="0"/>
        <w:spacing w:lineRule="auto" w:line="288" w:before="0" w:after="0"/>
        <w:jc w:val="left"/>
        <w:rPr/>
      </w:pPr>
      <w:r>
        <w:rPr>
          <w:color w:val="000000"/>
        </w:rPr>
        <w:t xml:space="preserve">☐ </w:t>
      </w:r>
      <w:r>
        <w:rPr>
          <w:rFonts w:ascii="Franklin Gothic Book;sans-serif" w:hAnsi="Franklin Gothic Book;sans-serif"/>
          <w:b w:val="false"/>
          <w:color w:val="000000"/>
          <w:sz w:val="20"/>
        </w:rPr>
        <w:t>Soliciting material pursuant to Rule 14a-12 under the Exchange Act (17 CFR 240.14a-12)</w:t>
      </w:r>
    </w:p>
    <w:p>
      <w:pPr>
        <w:pStyle w:val="TextBody"/>
        <w:bidi w:val="0"/>
        <w:spacing w:lineRule="auto" w:line="288" w:before="0" w:after="0"/>
        <w:jc w:val="left"/>
        <w:rPr/>
      </w:pPr>
      <w:r>
        <w:rPr>
          <w:color w:val="000000"/>
        </w:rPr>
        <w:t xml:space="preserve">☐ </w:t>
      </w:r>
      <w:r>
        <w:rPr>
          <w:rFonts w:ascii="Franklin Gothic Book;sans-serif" w:hAnsi="Franklin Gothic Book;sans-serif"/>
          <w:b w:val="false"/>
          <w:color w:val="000000"/>
          <w:sz w:val="20"/>
        </w:rPr>
        <w:t>Pre-commencement communications pursuant to Rule 14d-2(b) under the Exchange Act (17 CFR 240.14d-2(b))</w:t>
      </w:r>
    </w:p>
    <w:p>
      <w:pPr>
        <w:pStyle w:val="TextBody"/>
        <w:bidi w:val="0"/>
        <w:spacing w:lineRule="auto" w:line="288" w:before="0" w:after="0"/>
        <w:jc w:val="left"/>
        <w:rPr/>
      </w:pPr>
      <w:r>
        <w:rPr>
          <w:color w:val="000000"/>
        </w:rPr>
        <w:t xml:space="preserve">☐ </w:t>
      </w:r>
      <w:r>
        <w:rPr>
          <w:rFonts w:ascii="Franklin Gothic Book;sans-serif" w:hAnsi="Franklin Gothic Book;sans-serif"/>
          <w:b w:val="false"/>
          <w:color w:val="000000"/>
          <w:sz w:val="20"/>
        </w:rPr>
        <w:t>Pre-commencement communications pursuant to Rule 13e-4(c) under the Exchange Act (17 CFR 240.13e-4(c))</w:t>
      </w:r>
    </w:p>
    <w:tbl>
      <w:tblPr>
        <w:tblW w:w="10072" w:type="dxa"/>
        <w:jc w:val="center"/>
        <w:tblInd w:w="0" w:type="dxa"/>
        <w:tblLayout w:type="fixed"/>
        <w:tblCellMar>
          <w:top w:w="28" w:type="dxa"/>
          <w:left w:w="28" w:type="dxa"/>
          <w:bottom w:w="28" w:type="dxa"/>
          <w:right w:w="28" w:type="dxa"/>
        </w:tblCellMar>
      </w:tblPr>
      <w:tblGrid>
        <w:gridCol w:w="1418"/>
        <w:gridCol w:w="1245"/>
        <w:gridCol w:w="1252"/>
        <w:gridCol w:w="109"/>
        <w:gridCol w:w="109"/>
        <w:gridCol w:w="109"/>
        <w:gridCol w:w="544"/>
        <w:gridCol w:w="544"/>
        <w:gridCol w:w="546"/>
        <w:gridCol w:w="109"/>
        <w:gridCol w:w="109"/>
        <w:gridCol w:w="109"/>
        <w:gridCol w:w="1133"/>
        <w:gridCol w:w="1133"/>
        <w:gridCol w:w="1603"/>
      </w:tblGrid>
      <w:tr>
        <w:trPr/>
        <w:tc>
          <w:tcPr>
            <w:tcW w:w="141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Name of each exchange on which registered</w:t>
            </w:r>
          </w:p>
        </w:tc>
      </w:tr>
      <w:tr>
        <w:trPr/>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Common Stock, $0.0005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BIIB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The Nasdaq Global Select Market</w:t>
            </w:r>
          </w:p>
        </w:tc>
      </w:tr>
    </w:tbl>
    <w:p>
      <w:pPr>
        <w:pStyle w:val="TextBody"/>
        <w:bidi w:val="0"/>
        <w:spacing w:before="0" w:after="0"/>
        <w:jc w:val="left"/>
        <w:rPr/>
      </w:pPr>
      <w:r>
        <w:rPr/>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Franklin Gothic Book;sans-serif" w:hAnsi="Franklin Gothic Book;sans-serif"/>
          <w:b w:val="false"/>
          <w:color w:val="000000"/>
          <w:sz w:val="20"/>
        </w:rPr>
        <w:t xml:space="preserve">Emerging growth company </w:t>
      </w:r>
    </w:p>
    <w:p>
      <w:pPr>
        <w:pStyle w:val="TextBody"/>
        <w:bidi w:val="0"/>
        <w:spacing w:before="0" w:after="0"/>
        <w:jc w:val="left"/>
        <w:rPr/>
      </w:pPr>
      <w:r>
        <w:rPr/>
      </w:r>
    </w:p>
    <w:p>
      <w:pPr>
        <w:pStyle w:val="TextBody"/>
        <w:bidi w:val="0"/>
        <w:spacing w:lineRule="auto" w:line="288" w:before="0" w:after="0"/>
        <w:jc w:val="left"/>
        <w:rPr/>
      </w:pPr>
      <w:r>
        <w:rPr>
          <w:rFonts w:ascii="Franklin Gothic Book;sans-serif" w:hAnsi="Franklin Gothic Book;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Franklin Gothic Book;sans-serif" w:hAnsi="Franklin Gothic Book;sans-serif"/>
          <w:b/>
          <w:color w:val="1C5A7D"/>
          <w:sz w:val="24"/>
        </w:rPr>
      </w:pPr>
      <w:r>
        <w:rPr>
          <w:rFonts w:ascii="Franklin Gothic Book;sans-serif" w:hAnsi="Franklin Gothic Book;sans-serif"/>
          <w:b/>
          <w:color w:val="1C5A7D"/>
          <w:sz w:val="24"/>
        </w:rPr>
        <w:t xml:space="preserve">Item 2.02    Results of Operations and Financial Condition. </w:t>
      </w:r>
    </w:p>
    <w:p>
      <w:pPr>
        <w:pStyle w:val="TextBody"/>
        <w:bidi w:val="0"/>
        <w:spacing w:lineRule="auto" w:line="288" w:before="0" w:after="0"/>
        <w:ind w:left="0" w:right="0" w:firstLine="720"/>
        <w:jc w:val="both"/>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On April 24, 2024, Biogen Inc. issued a press release announcing its results of operations and financial condition for the first quarter ended March 31, 2024. A copy of the press release is furnished as Exhibit 99.1 and is incorporated herein by reference. </w:t>
      </w:r>
    </w:p>
    <w:p>
      <w:pPr>
        <w:pStyle w:val="TextBody"/>
        <w:bidi w:val="0"/>
        <w:spacing w:lineRule="auto" w:line="288" w:before="180" w:after="283"/>
        <w:ind w:left="0" w:right="0" w:firstLine="720"/>
        <w:jc w:val="both"/>
        <w:rPr>
          <w:rFonts w:ascii="Franklin Gothic Book;sans-serif" w:hAnsi="Franklin Gothic Book;sans-serif"/>
          <w:b w:val="false"/>
          <w:color w:val="000000"/>
          <w:sz w:val="20"/>
        </w:rPr>
      </w:pPr>
      <w:r>
        <w:rPr>
          <w:rFonts w:ascii="Franklin Gothic Book;sans-serif" w:hAnsi="Franklin Gothic Book;sans-serif"/>
          <w:b w:val="false"/>
          <w:color w:val="000000"/>
          <w:sz w:val="20"/>
        </w:rPr>
        <w:t>The press release is being furnished pursuant to Item 2.02 of this Current Report on Form 8-K and shall not be deemed “filed” for purposes of Section 18 of the Securities Exchange Act of 1934 (the “Exchange Act”) or otherwise subject to the liabilities of that Section, nor shall such document be deemed incorporated by reference in any filing under the Securities Act of 1933 or the Exchange Act.</w:t>
      </w:r>
    </w:p>
    <w:p>
      <w:pPr>
        <w:pStyle w:val="TextBody"/>
        <w:bidi w:val="0"/>
        <w:spacing w:lineRule="auto" w:line="288" w:before="280" w:after="283"/>
        <w:jc w:val="left"/>
        <w:rPr>
          <w:rFonts w:ascii="Franklin Gothic Book;sans-serif" w:hAnsi="Franklin Gothic Book;sans-serif"/>
          <w:b/>
          <w:color w:val="1C5A7D"/>
          <w:sz w:val="24"/>
        </w:rPr>
      </w:pPr>
      <w:r>
        <w:rPr>
          <w:rFonts w:ascii="Franklin Gothic Book;sans-serif" w:hAnsi="Franklin Gothic Book;sans-serif"/>
          <w:b/>
          <w:color w:val="1C5A7D"/>
          <w:sz w:val="24"/>
        </w:rPr>
        <w:t>Item 9.01    Financial Statements and Exhibits.</w:t>
      </w:r>
    </w:p>
    <w:p>
      <w:pPr>
        <w:pStyle w:val="TextBody"/>
        <w:bidi w:val="0"/>
        <w:spacing w:before="0" w:after="0"/>
        <w:ind w:left="0" w:right="0" w:firstLine="675"/>
        <w:jc w:val="both"/>
        <w:rPr/>
      </w:pPr>
      <w:r>
        <w:rPr/>
      </w:r>
    </w:p>
    <w:p>
      <w:pPr>
        <w:pStyle w:val="TextBody"/>
        <w:bidi w:val="0"/>
        <w:spacing w:lineRule="auto" w:line="288" w:before="0" w:after="240"/>
        <w:jc w:val="left"/>
        <w:rPr>
          <w:rFonts w:ascii="Franklin Gothic Book;sans-serif" w:hAnsi="Franklin Gothic Book;sans-serif"/>
          <w:b/>
          <w:color w:val="000000"/>
          <w:sz w:val="20"/>
        </w:rPr>
      </w:pPr>
      <w:r>
        <w:rPr>
          <w:rFonts w:ascii="Franklin Gothic Book;sans-serif" w:hAnsi="Franklin Gothic Book;sans-serif"/>
          <w:b/>
          <w:color w:val="000000"/>
          <w:sz w:val="20"/>
        </w:rPr>
        <w:t>(d)    Exhibits</w:t>
      </w:r>
    </w:p>
    <w:p>
      <w:pPr>
        <w:pStyle w:val="TextBody"/>
        <w:bidi w:val="0"/>
        <w:spacing w:lineRule="auto" w:line="288" w:before="0" w:after="0"/>
        <w:ind w:left="0" w:right="0" w:firstLine="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exhibits listed below are furnished as part of this Current Report on Form 8-K.</w:t>
      </w:r>
    </w:p>
    <w:tbl>
      <w:tblPr>
        <w:tblW w:w="8968" w:type="dxa"/>
        <w:jc w:val="left"/>
        <w:tblInd w:w="0" w:type="dxa"/>
        <w:tblLayout w:type="fixed"/>
        <w:tblCellMar>
          <w:top w:w="28" w:type="dxa"/>
          <w:left w:w="28" w:type="dxa"/>
          <w:bottom w:w="28" w:type="dxa"/>
          <w:right w:w="28" w:type="dxa"/>
        </w:tblCellMar>
      </w:tblPr>
      <w:tblGrid>
        <w:gridCol w:w="429"/>
        <w:gridCol w:w="376"/>
        <w:gridCol w:w="379"/>
        <w:gridCol w:w="2277"/>
        <w:gridCol w:w="2277"/>
        <w:gridCol w:w="3230"/>
      </w:tblGrid>
      <w:tr>
        <w:trPr/>
        <w:tc>
          <w:tcPr>
            <w:tcW w:w="4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u w:val="single"/>
              </w:rPr>
            </w:pPr>
            <w:r>
              <w:rPr>
                <w:rFonts w:ascii="Franklin Gothic Book;sans-serif" w:hAnsi="Franklin Gothic Book;sans-serif"/>
                <w:b w:val="false"/>
                <w:color w:val="000000"/>
                <w:sz w:val="20"/>
                <w:u w:val="single"/>
              </w:rPr>
              <w:t>Exhibit No.</w:t>
            </w:r>
          </w:p>
        </w:tc>
        <w:tc>
          <w:tcPr>
            <w:tcW w:w="7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u w:val="single"/>
              </w:rPr>
            </w:pPr>
            <w:r>
              <w:rPr>
                <w:rFonts w:ascii="Franklin Gothic Book;sans-serif" w:hAnsi="Franklin Gothic Book;sans-serif"/>
                <w:b w:val="false"/>
                <w:color w:val="000000"/>
                <w:sz w:val="20"/>
                <w:u w:val="single"/>
              </w:rPr>
              <w:t>Description</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99.1</w:t>
            </w:r>
          </w:p>
        </w:tc>
        <w:tc>
          <w:tcPr>
            <w:tcW w:w="77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q12024pressrele.htm">
              <w:r>
                <w:rPr>
                  <w:rStyle w:val="InternetLink"/>
                  <w:rFonts w:ascii="Franklin Gothic Book;sans-serif" w:hAnsi="Franklin Gothic Book;sans-serif"/>
                  <w:b w:val="false"/>
                  <w:color w:val="0000FF"/>
                  <w:sz w:val="20"/>
                  <w:u w:val="single"/>
                </w:rPr>
                <w:t>Biogen's press release dated April 24, 2024</w:t>
              </w:r>
            </w:hyperlink>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104</w:t>
            </w:r>
          </w:p>
        </w:tc>
        <w:tc>
          <w:tcPr>
            <w:tcW w:w="7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Cover Page Interactive Data File (embedded within the Inline XBRL document)</w:t>
            </w:r>
          </w:p>
        </w:tc>
      </w:tr>
    </w:tbl>
    <w:p>
      <w:pPr>
        <w:pStyle w:val="TextBody"/>
        <w:bidi w:val="0"/>
        <w:spacing w:before="0" w:after="0"/>
        <w:ind w:left="0" w:right="0" w:firstLine="7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SIGNATURES</w:t>
      </w:r>
    </w:p>
    <w:p>
      <w:pPr>
        <w:pStyle w:val="TextBody"/>
        <w:bidi w:val="0"/>
        <w:spacing w:before="0" w:after="0"/>
        <w:jc w:val="center"/>
        <w:rPr/>
      </w:pPr>
      <w:r>
        <w:rPr/>
      </w:r>
    </w:p>
    <w:p>
      <w:pPr>
        <w:pStyle w:val="TextBody"/>
        <w:bidi w:val="0"/>
        <w:spacing w:lineRule="auto" w:line="288" w:before="0" w:after="0"/>
        <w:ind w:left="0" w:right="0" w:firstLine="36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2946" w:type="dxa"/>
        <w:jc w:val="right"/>
        <w:tblInd w:w="0" w:type="dxa"/>
        <w:tblLayout w:type="fixed"/>
        <w:tblCellMar>
          <w:top w:w="28" w:type="dxa"/>
          <w:left w:w="28" w:type="dxa"/>
          <w:bottom w:w="28" w:type="dxa"/>
          <w:right w:w="28" w:type="dxa"/>
        </w:tblCellMar>
      </w:tblPr>
      <w:tblGrid>
        <w:gridCol w:w="270"/>
        <w:gridCol w:w="236"/>
        <w:gridCol w:w="236"/>
        <w:gridCol w:w="639"/>
        <w:gridCol w:w="639"/>
        <w:gridCol w:w="926"/>
      </w:tblGrid>
      <w:tr>
        <w:trPr/>
        <w:tc>
          <w:tcPr>
            <w:tcW w:w="27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29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BIOGEN INC.</w:t>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By:</w:t>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Franklin Gothic Book;sans-serif" w:hAnsi="Franklin Gothic Book;sans-serif"/>
                <w:b w:val="false"/>
                <w:color w:val="000000"/>
                <w:sz w:val="20"/>
              </w:rPr>
              <w:t xml:space="preserve">/s/ Wendell Taylor </w:t>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Wendell Taylor</w:t>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Secretary</w:t>
            </w:r>
          </w:p>
        </w:tc>
      </w:tr>
    </w:tbl>
    <w:p>
      <w:pPr>
        <w:pStyle w:val="TextBody"/>
        <w:bidi w:val="0"/>
        <w:spacing w:before="0" w:after="0"/>
        <w:jc w:val="left"/>
        <w:rPr/>
      </w:pPr>
      <w:r>
        <w:rPr/>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Date: April 24, 2024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drawing>
          <wp:inline distT="0" distB="0" distL="0" distR="0">
            <wp:extent cx="1381125" cy="4476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381125" cy="447675"/>
                    </a:xfrm>
                    <a:prstGeom prst="rect">
                      <a:avLst/>
                    </a:prstGeom>
                  </pic:spPr>
                </pic:pic>
              </a:graphicData>
            </a:graphic>
          </wp:inline>
        </w:drawing>
      </w:r>
      <w:r>
        <w:rPr>
          <w:color w:val="000000"/>
        </w:rPr>
        <w:t xml:space="preserve">                                     </w:t>
      </w:r>
      <w:r>
        <w:rPr>
          <w:rFonts w:ascii="Franklin Gothic Book;sans-serif" w:hAnsi="Franklin Gothic Book;sans-serif"/>
          <w:b/>
          <w:color w:val="000000"/>
          <w:sz w:val="22"/>
        </w:rPr>
        <w:t>Press Release</w:t>
      </w:r>
    </w:p>
    <w:p>
      <w:pPr>
        <w:pStyle w:val="TextBody"/>
        <w:bidi w:val="0"/>
        <w:spacing w:lineRule="auto" w:line="288" w:before="0" w:after="0"/>
        <w:jc w:val="right"/>
        <w:rPr>
          <w:rFonts w:ascii="Franklin Gothic Book;sans-serif" w:hAnsi="Franklin Gothic Book;sans-serif"/>
          <w:b/>
          <w:color w:val="000000"/>
          <w:sz w:val="22"/>
        </w:rPr>
      </w:pPr>
      <w:r>
        <w:rPr>
          <w:rFonts w:ascii="Franklin Gothic Book;sans-serif" w:hAnsi="Franklin Gothic Book;sans-serif"/>
          <w:b/>
          <w:color w:val="000000"/>
          <w:sz w:val="22"/>
        </w:rPr>
        <w:t>Cambridge, Mass. – Apr. 24, 2024</w:t>
      </w:r>
    </w:p>
    <w:p>
      <w:pPr>
        <w:pStyle w:val="TextBody"/>
        <w:bidi w:val="0"/>
        <w:spacing w:before="0" w:after="0"/>
        <w:jc w:val="left"/>
        <w:rPr/>
      </w:pPr>
      <w:r>
        <w:rPr/>
      </w:r>
    </w:p>
    <w:p>
      <w:pPr>
        <w:pStyle w:val="TextBody"/>
        <w:bidi w:val="0"/>
        <w:spacing w:lineRule="auto" w:line="276" w:before="100" w:after="100"/>
        <w:jc w:val="center"/>
        <w:rPr>
          <w:rFonts w:ascii="Franklin Gothic Book;sans-serif" w:hAnsi="Franklin Gothic Book;sans-serif"/>
          <w:b/>
          <w:color w:val="000000"/>
          <w:sz w:val="22"/>
        </w:rPr>
      </w:pPr>
      <w:r>
        <w:rPr>
          <w:rFonts w:ascii="Franklin Gothic Book;sans-serif" w:hAnsi="Franklin Gothic Book;sans-serif"/>
          <w:b/>
          <w:color w:val="000000"/>
          <w:sz w:val="22"/>
        </w:rPr>
        <w:t xml:space="preserve">Biogen reports first quarter 2024 GAAP EPS growth of 1% and Non-GAAP EPS growth of 8% </w:t>
      </w:r>
    </w:p>
    <w:p>
      <w:pPr>
        <w:pStyle w:val="TextBody"/>
        <w:bidi w:val="0"/>
        <w:spacing w:lineRule="auto" w:line="276" w:before="280" w:after="283"/>
        <w:jc w:val="left"/>
        <w:rPr>
          <w:rFonts w:ascii="Franklin Gothic Book;sans-serif" w:hAnsi="Franklin Gothic Book;sans-serif"/>
          <w:b/>
          <w:color w:val="0070C0"/>
          <w:sz w:val="22"/>
        </w:rPr>
      </w:pPr>
      <w:r>
        <w:rPr>
          <w:rFonts w:ascii="Franklin Gothic Book;sans-serif" w:hAnsi="Franklin Gothic Book;sans-serif"/>
          <w:b/>
          <w:color w:val="0070C0"/>
          <w:sz w:val="22"/>
        </w:rPr>
        <w:t>First quarter revenue $2.3 billion; GAAP diluted EPS $2.70; Non-GAAP diluted EPS $3.67</w:t>
      </w:r>
    </w:p>
    <w:p>
      <w:pPr>
        <w:pStyle w:val="TextBody"/>
        <w:bidi w:val="0"/>
        <w:spacing w:before="0" w:after="0"/>
        <w:jc w:val="left"/>
        <w:rPr/>
      </w:pPr>
      <w:r>
        <w:rPr/>
      </w:r>
    </w:p>
    <w:p>
      <w:pPr>
        <w:pStyle w:val="TextBody"/>
        <w:bidi w:val="0"/>
        <w:spacing w:lineRule="auto" w:line="268" w:before="0" w:after="0"/>
        <w:jc w:val="left"/>
        <w:rPr>
          <w:rFonts w:ascii="Franklin Gothic Book;sans-serif" w:hAnsi="Franklin Gothic Book;sans-serif"/>
          <w:b/>
          <w:color w:val="0070C0"/>
          <w:sz w:val="22"/>
        </w:rPr>
      </w:pPr>
      <w:r>
        <w:rPr>
          <w:rFonts w:ascii="Franklin Gothic Book;sans-serif" w:hAnsi="Franklin Gothic Book;sans-serif"/>
          <w:b/>
          <w:color w:val="0070C0"/>
          <w:sz w:val="22"/>
        </w:rPr>
        <w:t>First quarter product revenue decreased 3% and total revenue decreased 7%, while GAAP operating income grew 10% and Non-GAAP operating income grew 24%; meaningful improvement in both gross and operating margins due to Fit for Growth program and R&amp;D prioritization</w:t>
      </w:r>
    </w:p>
    <w:p>
      <w:pPr>
        <w:pStyle w:val="TextBody"/>
        <w:bidi w:val="0"/>
        <w:spacing w:lineRule="auto" w:line="268" w:before="280" w:after="283"/>
        <w:jc w:val="left"/>
        <w:rPr>
          <w:rFonts w:ascii="Franklin Gothic Book;sans-serif" w:hAnsi="Franklin Gothic Book;sans-serif"/>
          <w:b/>
          <w:color w:val="0070C0"/>
          <w:sz w:val="22"/>
        </w:rPr>
      </w:pPr>
      <w:r>
        <w:rPr>
          <w:rFonts w:ascii="Franklin Gothic Book;sans-serif" w:hAnsi="Franklin Gothic Book;sans-serif"/>
          <w:b/>
          <w:color w:val="0070C0"/>
          <w:sz w:val="22"/>
        </w:rPr>
        <w:t>LEQEMBI launch uptake accelerated with first quarter global in-market sales of approximately $19 million, nearly triple the fourth quarter of 2023, and patients on therapy increasing nearly 2.5 times since the end of 2023. Significant increase in new patient starts observed in March which contributed over 20% of cumulative patients now on LEQEMBI.</w:t>
      </w:r>
    </w:p>
    <w:p>
      <w:pPr>
        <w:pStyle w:val="TextBody"/>
        <w:bidi w:val="0"/>
        <w:spacing w:before="0" w:after="0"/>
        <w:jc w:val="left"/>
        <w:rPr/>
      </w:pPr>
      <w:r>
        <w:rPr/>
      </w:r>
    </w:p>
    <w:p>
      <w:pPr>
        <w:pStyle w:val="TextBody"/>
        <w:bidi w:val="0"/>
        <w:spacing w:lineRule="auto" w:line="268" w:before="0" w:after="0"/>
        <w:jc w:val="left"/>
        <w:rPr>
          <w:rFonts w:ascii="Franklin Gothic Book;sans-serif" w:hAnsi="Franklin Gothic Book;sans-serif"/>
          <w:b/>
          <w:color w:val="0070C0"/>
          <w:sz w:val="22"/>
        </w:rPr>
      </w:pPr>
      <w:r>
        <w:rPr>
          <w:rFonts w:ascii="Franklin Gothic Book;sans-serif" w:hAnsi="Franklin Gothic Book;sans-serif"/>
          <w:b/>
          <w:color w:val="0070C0"/>
          <w:sz w:val="22"/>
        </w:rPr>
        <w:t>SKYCLARYS first quarter global revenue of $78 million with patient identification and access progressing in the U.S. and E.U. launch now successfully underway</w:t>
      </w:r>
    </w:p>
    <w:p>
      <w:pPr>
        <w:pStyle w:val="TextBody"/>
        <w:bidi w:val="0"/>
        <w:spacing w:lineRule="auto" w:line="276" w:before="280" w:after="283"/>
        <w:jc w:val="left"/>
        <w:rPr>
          <w:rFonts w:ascii="Franklin Gothic Book;sans-serif" w:hAnsi="Franklin Gothic Book;sans-serif"/>
          <w:b/>
          <w:color w:val="0070C0"/>
          <w:sz w:val="22"/>
        </w:rPr>
      </w:pPr>
      <w:r>
        <w:rPr>
          <w:rFonts w:ascii="Franklin Gothic Book;sans-serif" w:hAnsi="Franklin Gothic Book;sans-serif"/>
          <w:b/>
          <w:color w:val="0070C0"/>
          <w:sz w:val="22"/>
        </w:rPr>
        <w:t>ZURZUVAE launch shows encouraging early trends</w:t>
      </w:r>
    </w:p>
    <w:p>
      <w:pPr>
        <w:pStyle w:val="TextBody"/>
        <w:bidi w:val="0"/>
        <w:spacing w:before="0" w:after="0"/>
        <w:jc w:val="left"/>
        <w:rPr/>
      </w:pPr>
      <w:r>
        <w:rPr/>
      </w:r>
    </w:p>
    <w:p>
      <w:pPr>
        <w:pStyle w:val="TextBody"/>
        <w:bidi w:val="0"/>
        <w:spacing w:lineRule="auto" w:line="268" w:before="0" w:after="0"/>
        <w:jc w:val="left"/>
        <w:rPr>
          <w:rFonts w:ascii="Franklin Gothic Book;sans-serif" w:hAnsi="Franklin Gothic Book;sans-serif"/>
          <w:b/>
          <w:color w:val="0070C0"/>
          <w:sz w:val="22"/>
        </w:rPr>
      </w:pPr>
      <w:r>
        <w:rPr>
          <w:rFonts w:ascii="Franklin Gothic Book;sans-serif" w:hAnsi="Franklin Gothic Book;sans-serif"/>
          <w:b/>
          <w:color w:val="0070C0"/>
          <w:sz w:val="22"/>
        </w:rPr>
        <w:t>SPINRAZA grew 1% in the U.S. with timing of shipments and increased competition impacting first quarter revenue comparisons outside the U.S.</w:t>
      </w:r>
    </w:p>
    <w:p>
      <w:pPr>
        <w:pStyle w:val="TextBody"/>
        <w:bidi w:val="0"/>
        <w:spacing w:before="0" w:after="0"/>
        <w:jc w:val="left"/>
        <w:rPr/>
      </w:pPr>
      <w:r>
        <w:rPr/>
      </w:r>
    </w:p>
    <w:p>
      <w:pPr>
        <w:pStyle w:val="TextBody"/>
        <w:bidi w:val="0"/>
        <w:spacing w:lineRule="auto" w:line="268" w:before="0" w:after="0"/>
        <w:jc w:val="left"/>
        <w:rPr>
          <w:rFonts w:ascii="Franklin Gothic Book;sans-serif" w:hAnsi="Franklin Gothic Book;sans-serif"/>
          <w:b/>
          <w:color w:val="0070C0"/>
          <w:sz w:val="22"/>
        </w:rPr>
      </w:pPr>
      <w:r>
        <w:rPr>
          <w:rFonts w:ascii="Franklin Gothic Book;sans-serif" w:hAnsi="Franklin Gothic Book;sans-serif"/>
          <w:b/>
          <w:color w:val="0070C0"/>
          <w:sz w:val="22"/>
        </w:rPr>
        <w:t>Reaffirming full year 2024 financial guidance: Non-GAAP EPS of $15.00 to $16.00, representing EPS growth of approximately 5% versus 2023 at the mid-point</w:t>
      </w:r>
    </w:p>
    <w:p>
      <w:pPr>
        <w:pStyle w:val="TextBody"/>
        <w:bidi w:val="0"/>
        <w:spacing w:lineRule="auto" w:line="276" w:before="100" w:after="283"/>
        <w:ind w:left="0" w:right="0" w:hanging="360"/>
        <w:jc w:val="left"/>
        <w:rPr/>
      </w:pPr>
      <w:r>
        <w:rPr>
          <w:color w:val="0070C0"/>
        </w:rPr>
        <w:t>•</w:t>
      </w:r>
      <w:r>
        <w:rPr>
          <w:rFonts w:ascii="Franklin Gothic Book;sans-serif" w:hAnsi="Franklin Gothic Book;sans-serif"/>
          <w:b w:val="false"/>
          <w:color w:val="0070C0"/>
          <w:sz w:val="22"/>
        </w:rPr>
        <w:t>Continue to expect total revenue to decline by a low- to mid-single digit percentage vs. 2023 and expect core pharmaceutical revenue (product revenue + LEQEMBI) to be flat vs. 2023</w:t>
      </w:r>
    </w:p>
    <w:p>
      <w:pPr>
        <w:pStyle w:val="TextBody"/>
        <w:bidi w:val="0"/>
        <w:spacing w:lineRule="auto" w:line="276" w:before="100" w:after="283"/>
        <w:ind w:left="0" w:right="0" w:hanging="360"/>
        <w:jc w:val="left"/>
        <w:rPr/>
      </w:pPr>
      <w:r>
        <w:rPr>
          <w:color w:val="0070C0"/>
        </w:rPr>
        <w:t>•</w:t>
      </w:r>
      <w:r>
        <w:rPr>
          <w:rFonts w:ascii="Franklin Gothic Book;sans-serif" w:hAnsi="Franklin Gothic Book;sans-serif"/>
          <w:b w:val="false"/>
          <w:color w:val="0070C0"/>
          <w:sz w:val="22"/>
        </w:rPr>
        <w:t>Continue to expect operating income to grow low-double digit percentage vs. 2023 with expected mid-single digit percentage point operating margin improvement</w:t>
      </w:r>
    </w:p>
    <w:p>
      <w:pPr>
        <w:pStyle w:val="TextBody"/>
        <w:bidi w:val="0"/>
        <w:spacing w:lineRule="auto" w:line="276" w:before="280" w:after="283"/>
        <w:jc w:val="left"/>
        <w:rPr/>
      </w:pPr>
      <w:r>
        <w:rPr>
          <w:rFonts w:ascii="Franklin Gothic Book;sans-serif" w:hAnsi="Franklin Gothic Book;sans-serif"/>
          <w:b/>
          <w:color w:val="000000"/>
          <w:sz w:val="22"/>
        </w:rPr>
        <w:t xml:space="preserve">Biogen Inc. (NASDAQ: BIIB) today reported first quarter 2024 financial results. </w:t>
      </w:r>
      <w:r>
        <w:rPr>
          <w:rFonts w:ascii="Franklin Gothic Book;sans-serif" w:hAnsi="Franklin Gothic Book;sans-serif"/>
          <w:b w:val="false"/>
          <w:color w:val="000000"/>
          <w:sz w:val="22"/>
        </w:rPr>
        <w:t>Commenting on the quarter, President and Chief Executive Officer Christopher A. Viehbacher said:</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Franklin Gothic Book;sans-serif" w:hAnsi="Franklin Gothic Book;sans-serif"/>
          <w:b w:val="false"/>
          <w:color w:val="000000"/>
          <w:sz w:val="22"/>
        </w:rPr>
        <w:t>We are starting 2024 with an increase in earnings per share and solid execution across our new product launches along with the realization of meaningful cost savings and margin improvement. We see momentum building at a steady pace for LEQEMBI. In particular, we were encouraged that LEQEMBI in-market revenue for the first quarter nearly tripled sequentially and we saw a significant build in month-to-month new patient starts in the first quarter. As the launch progresses and infrastructure develops, we continue to believe in the potential longer-term commercial opportunity in Alzheimer’s disease. In rare disease, the U.S. launch of SKYCLARYS is advancing well and with the E.U. launch underway, we are beginning to realize the value of the Reata transaction. The uptake of ZURZUVAE in postpartum depression and QALSODY in SOD-1 ALS, two areas of significant unmet need, has also been encouraging. With a renewed culture focused on purpose and performance, we are advancing toward our goal of returning to sustainable growth while creating enhanced value for patients and our shareholders."</w:t>
      </w:r>
    </w:p>
    <w:p>
      <w:pPr>
        <w:pStyle w:val="TextBody"/>
        <w:bidi w:val="0"/>
        <w:spacing w:lineRule="auto" w:line="268" w:before="300" w:after="283"/>
        <w:jc w:val="left"/>
        <w:rPr>
          <w:rFonts w:ascii="Franklin Gothic Book;sans-serif" w:hAnsi="Franklin Gothic Book;sans-serif"/>
          <w:b/>
          <w:color w:val="000000"/>
          <w:sz w:val="22"/>
        </w:rPr>
      </w:pPr>
      <w:r>
        <w:rPr>
          <w:rFonts w:ascii="Franklin Gothic Book;sans-serif" w:hAnsi="Franklin Gothic Book;sans-serif"/>
          <w:b/>
          <w:color w:val="000000"/>
          <w:sz w:val="22"/>
        </w:rPr>
        <w:t>Financial Highlights</w:t>
      </w:r>
    </w:p>
    <w:tbl>
      <w:tblPr>
        <w:tblW w:w="7965" w:type="dxa"/>
        <w:jc w:val="left"/>
        <w:tblInd w:w="0" w:type="dxa"/>
        <w:tblLayout w:type="fixed"/>
        <w:tblCellMar>
          <w:top w:w="28" w:type="dxa"/>
          <w:left w:w="28" w:type="dxa"/>
          <w:bottom w:w="28" w:type="dxa"/>
          <w:right w:w="28" w:type="dxa"/>
        </w:tblCellMar>
      </w:tblPr>
      <w:tblGrid>
        <w:gridCol w:w="998"/>
        <w:gridCol w:w="879"/>
        <w:gridCol w:w="882"/>
        <w:gridCol w:w="109"/>
        <w:gridCol w:w="109"/>
        <w:gridCol w:w="109"/>
        <w:gridCol w:w="269"/>
        <w:gridCol w:w="269"/>
        <w:gridCol w:w="271"/>
        <w:gridCol w:w="109"/>
        <w:gridCol w:w="109"/>
        <w:gridCol w:w="109"/>
        <w:gridCol w:w="269"/>
        <w:gridCol w:w="269"/>
        <w:gridCol w:w="271"/>
        <w:gridCol w:w="109"/>
        <w:gridCol w:w="109"/>
        <w:gridCol w:w="109"/>
        <w:gridCol w:w="184"/>
        <w:gridCol w:w="184"/>
        <w:gridCol w:w="186"/>
        <w:gridCol w:w="109"/>
        <w:gridCol w:w="109"/>
        <w:gridCol w:w="109"/>
        <w:gridCol w:w="269"/>
        <w:gridCol w:w="269"/>
        <w:gridCol w:w="271"/>
        <w:gridCol w:w="109"/>
        <w:gridCol w:w="109"/>
        <w:gridCol w:w="109"/>
        <w:gridCol w:w="109"/>
        <w:gridCol w:w="109"/>
        <w:gridCol w:w="109"/>
        <w:gridCol w:w="109"/>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26DCE"/>
                <w:sz w:val="20"/>
              </w:rPr>
            </w:pPr>
            <w:r>
              <w:rPr>
                <w:rFonts w:ascii="Franklin Gothic Book;sans-serif" w:hAnsi="Franklin Gothic Book;sans-serif"/>
                <w:b/>
                <w:color w:val="026DCE"/>
                <w:sz w:val="20"/>
              </w:rPr>
              <w:t>Q1 '24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Q1 '23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Wingdings 3;sans-serif" w:hAnsi="Wingdings 3;sans-serif"/>
                <w:b/>
                <w:color w:val="000000"/>
                <w:sz w:val="20"/>
              </w:rPr>
              <w:t>r</w:t>
            </w:r>
            <w:r>
              <w:rPr>
                <w:color w:val="000000"/>
              </w:rPr>
              <w:t xml:space="preserve"> </w:t>
            </w:r>
            <w:r>
              <w:rPr>
                <w:rFonts w:ascii="Franklin Gothic Book;sans-serif" w:hAnsi="Franklin Gothic Book;sans-serif"/>
                <w:b/>
                <w:color w:val="000000"/>
                <w:sz w:val="20"/>
              </w:rPr>
              <w:t>(CC</w:t>
            </w:r>
            <w:r>
              <w:rPr>
                <w:rFonts w:ascii="Franklin Gothic Book;sans-serif" w:hAnsi="Franklin Gothic Book;sans-serif"/>
                <w:b/>
                <w:color w:val="000000"/>
                <w:sz w:val="13"/>
              </w:rPr>
              <w:t>*</w:t>
            </w:r>
            <w:r>
              <w:rPr>
                <w:rFonts w:ascii="Franklin Gothic Book;sans-serif" w:hAnsi="Franklin Gothic Book;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Revenue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26DCE"/>
                <w:sz w:val="20"/>
              </w:rPr>
            </w:pPr>
            <w:r>
              <w:rPr>
                <w:rFonts w:ascii="Franklin Gothic Book;sans-serif" w:hAnsi="Franklin Gothic Book;sans-serif"/>
                <w:b w:val="false"/>
                <w:color w:val="026DCE"/>
                <w:sz w:val="20"/>
              </w:rPr>
              <w:t>$2,290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$2,463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GAAP 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26DCE"/>
                <w:sz w:val="20"/>
              </w:rPr>
            </w:pPr>
            <w:r>
              <w:rPr>
                <w:rFonts w:ascii="Franklin Gothic Book;sans-serif" w:hAnsi="Franklin Gothic Book;sans-serif"/>
                <w:b w:val="false"/>
                <w:color w:val="026DCE"/>
                <w:sz w:val="20"/>
              </w:rPr>
              <w:t>$2.70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Franklin Gothic Book;sans-serif" w:hAnsi="Franklin Gothic Book;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Non-GAAP 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26DCE"/>
                <w:sz w:val="20"/>
              </w:rPr>
            </w:pPr>
            <w:r>
              <w:rPr>
                <w:rFonts w:ascii="Franklin Gothic Book;sans-serif" w:hAnsi="Franklin Gothic Book;sans-serif"/>
                <w:b w:val="false"/>
                <w:color w:val="026DCE"/>
                <w:sz w:val="20"/>
              </w:rPr>
              <w:t>$3.67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Franklin Gothic Book;sans-serif" w:hAnsi="Franklin Gothic Book;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7955"/>
                <wp:effectExtent l="0" t="0" r="0" b="0"/>
                <wp:wrapNone/>
                <wp:docPr id="5"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Note: Percent changes represented as favorable/(unfavorable) versus the prior year period.</w:t>
      </w:r>
    </w:p>
    <w:p>
      <w:pPr>
        <w:pStyle w:val="TextBody"/>
        <w:bidi w:val="0"/>
        <w:spacing w:lineRule="auto" w:line="268" w:before="0" w:after="0"/>
        <w:jc w:val="left"/>
        <w:rPr/>
      </w:pPr>
      <w:r>
        <w:rPr>
          <w:rFonts w:ascii="Franklin Gothic Book;sans-serif" w:hAnsi="Franklin Gothic Book;sans-serif"/>
          <w:b w:val="false"/>
          <w:color w:val="000000"/>
          <w:sz w:val="12"/>
        </w:rPr>
        <w:t>*</w:t>
      </w:r>
      <w:r>
        <w:rPr>
          <w:color w:val="000000"/>
        </w:rPr>
        <w:t xml:space="preserve"> </w:t>
      </w:r>
      <w:r>
        <w:rPr>
          <w:rFonts w:ascii="Franklin Gothic Book;sans-serif" w:hAnsi="Franklin Gothic Book;sans-serif"/>
          <w:b w:val="false"/>
          <w:color w:val="000000"/>
          <w:sz w:val="18"/>
        </w:rPr>
        <w:t xml:space="preserve">Percentage changes in revenue growth at constant currency (CC) are presented excluding the impact of changes in foreign currency exchange rates and hedging gains or losses. Foreign currency revenue values are converted into U.S. Dollars using the exchange rates from the end of the previous calendar year. </w:t>
      </w:r>
    </w:p>
    <w:p>
      <w:pPr>
        <w:pStyle w:val="TextBody"/>
        <w:bidi w:val="0"/>
        <w:spacing w:before="0" w:after="0"/>
        <w:jc w:val="left"/>
        <w:rPr/>
      </w:pPr>
      <w:r>
        <w:rPr/>
      </w:r>
    </w:p>
    <w:p>
      <w:pPr>
        <w:pStyle w:val="TextBody"/>
        <w:bidi w:val="0"/>
        <w:spacing w:lineRule="auto" w:line="26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 reconciliation of GAAP to Non-GAAP financial measures can be found in Table 4 at the end of this news release.</w:t>
      </w:r>
    </w:p>
    <w:p>
      <w:pPr>
        <w:pStyle w:val="TextBody"/>
        <w:bidi w:val="0"/>
        <w:spacing w:lineRule="auto" w:line="268" w:before="300" w:after="283"/>
        <w:jc w:val="left"/>
        <w:rPr>
          <w:rFonts w:ascii="Franklin Gothic Book;sans-serif" w:hAnsi="Franklin Gothic Book;sans-serif"/>
          <w:b/>
          <w:color w:val="000000"/>
          <w:sz w:val="22"/>
        </w:rPr>
      </w:pPr>
      <w:r>
        <w:rPr>
          <w:rFonts w:ascii="Franklin Gothic Book;sans-serif" w:hAnsi="Franklin Gothic Book;sans-serif"/>
          <w:b/>
          <w:color w:val="000000"/>
          <w:sz w:val="22"/>
        </w:rPr>
        <w:t>Revenue Summary</w:t>
      </w:r>
    </w:p>
    <w:tbl>
      <w:tblPr>
        <w:tblW w:w="10205" w:type="dxa"/>
        <w:jc w:val="left"/>
        <w:tblInd w:w="0" w:type="dxa"/>
        <w:tblLayout w:type="fixed"/>
        <w:tblCellMar>
          <w:top w:w="28" w:type="dxa"/>
          <w:left w:w="28" w:type="dxa"/>
          <w:bottom w:w="28" w:type="dxa"/>
          <w:right w:w="28" w:type="dxa"/>
        </w:tblCellMar>
      </w:tblPr>
      <w:tblGrid>
        <w:gridCol w:w="1784"/>
        <w:gridCol w:w="1533"/>
        <w:gridCol w:w="1537"/>
        <w:gridCol w:w="109"/>
        <w:gridCol w:w="109"/>
        <w:gridCol w:w="109"/>
        <w:gridCol w:w="269"/>
        <w:gridCol w:w="269"/>
        <w:gridCol w:w="268"/>
        <w:gridCol w:w="109"/>
        <w:gridCol w:w="109"/>
        <w:gridCol w:w="109"/>
        <w:gridCol w:w="300"/>
        <w:gridCol w:w="300"/>
        <w:gridCol w:w="270"/>
        <w:gridCol w:w="109"/>
        <w:gridCol w:w="109"/>
        <w:gridCol w:w="109"/>
        <w:gridCol w:w="221"/>
        <w:gridCol w:w="219"/>
        <w:gridCol w:w="219"/>
        <w:gridCol w:w="109"/>
        <w:gridCol w:w="109"/>
        <w:gridCol w:w="109"/>
        <w:gridCol w:w="262"/>
        <w:gridCol w:w="262"/>
        <w:gridCol w:w="264"/>
        <w:gridCol w:w="109"/>
        <w:gridCol w:w="109"/>
        <w:gridCol w:w="109"/>
        <w:gridCol w:w="109"/>
        <w:gridCol w:w="109"/>
        <w:gridCol w:w="109"/>
        <w:gridCol w:w="109"/>
        <w:gridCol w:w="157"/>
      </w:tblGrid>
      <w:tr>
        <w:trPr/>
        <w:tc>
          <w:tcPr>
            <w:tcW w:w="1784"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3BA"/>
                <w:sz w:val="20"/>
              </w:rPr>
            </w:pPr>
            <w:r>
              <w:rPr>
                <w:rFonts w:ascii="Franklin Gothic Book;sans-serif" w:hAnsi="Franklin Gothic Book;sans-serif"/>
                <w:b/>
                <w:color w:val="2573BA"/>
                <w:sz w:val="20"/>
              </w:rPr>
              <w:t>Q1 '24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Q1 '23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Wingdings 3;sans-serif" w:hAnsi="Wingdings 3;sans-serif"/>
                <w:b/>
                <w:color w:val="000000"/>
                <w:sz w:val="20"/>
              </w:rPr>
              <w:t>r</w:t>
            </w:r>
            <w:r>
              <w:rPr>
                <w:color w:val="000000"/>
              </w:rPr>
              <w:t xml:space="preserve"> </w:t>
            </w:r>
            <w:r>
              <w:rPr>
                <w:rFonts w:ascii="Franklin Gothic Book;sans-serif" w:hAnsi="Franklin Gothic Book;sans-serif"/>
                <w:b/>
                <w:color w:val="000000"/>
                <w:sz w:val="20"/>
              </w:rPr>
              <w:t>(CC</w:t>
            </w:r>
            <w:r>
              <w:rPr>
                <w:rFonts w:ascii="Franklin Gothic Book;sans-serif" w:hAnsi="Franklin Gothic Book;sans-serif"/>
                <w:b/>
                <w:color w:val="000000"/>
                <w:sz w:val="13"/>
              </w:rPr>
              <w:t>*</w:t>
            </w:r>
            <w:r>
              <w:rPr>
                <w:rFonts w:ascii="Franklin Gothic Book;sans-serif" w:hAnsi="Franklin Gothic Book;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Multiple sclerosis (MS) product revenue</w:t>
            </w:r>
            <w:r>
              <w:rPr>
                <w:rFonts w:ascii="Franklin Gothic Book;sans-serif" w:hAnsi="Franklin Gothic Book;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26DCE"/>
                <w:sz w:val="20"/>
              </w:rPr>
            </w:pPr>
            <w:r>
              <w:rPr>
                <w:rFonts w:ascii="Franklin Gothic Book;sans-serif" w:hAnsi="Franklin Gothic Book;sans-serif"/>
                <w:b w:val="false"/>
                <w:color w:val="026DCE"/>
                <w:sz w:val="20"/>
              </w:rPr>
              <w:t>$1,076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Rare disease revenue</w:t>
            </w:r>
            <w:r>
              <w:rPr>
                <w:rFonts w:ascii="Franklin Gothic Book;sans-serif" w:hAnsi="Franklin Gothic Book;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26DCE"/>
                <w:sz w:val="20"/>
              </w:rPr>
            </w:pPr>
            <w:r>
              <w:rPr>
                <w:rFonts w:ascii="Franklin Gothic Book;sans-serif" w:hAnsi="Franklin Gothic Book;sans-serif"/>
                <w:b w:val="false"/>
                <w:color w:val="026DCE"/>
                <w:sz w:val="20"/>
              </w:rPr>
              <w:t>$424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Biosimilars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26DCE"/>
                <w:sz w:val="20"/>
              </w:rPr>
            </w:pPr>
            <w:r>
              <w:rPr>
                <w:rFonts w:ascii="Franklin Gothic Book;sans-serif" w:hAnsi="Franklin Gothic Book;sans-serif"/>
                <w:b w:val="false"/>
                <w:color w:val="026DCE"/>
                <w:sz w:val="20"/>
              </w:rPr>
              <w:t>$197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Other product revenue</w:t>
            </w:r>
            <w:r>
              <w:rPr>
                <w:rFonts w:ascii="Franklin Gothic Book;sans-serif" w:hAnsi="Franklin Gothic Book;sans-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26DCE"/>
                <w:sz w:val="20"/>
              </w:rPr>
            </w:pPr>
            <w:r>
              <w:rPr>
                <w:rFonts w:ascii="Franklin Gothic Book;sans-serif" w:hAnsi="Franklin Gothic Book;sans-serif"/>
                <w:b w:val="false"/>
                <w:color w:val="026DCE"/>
                <w:sz w:val="20"/>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product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26DCE"/>
                <w:sz w:val="20"/>
              </w:rPr>
            </w:pPr>
            <w:r>
              <w:rPr>
                <w:rFonts w:ascii="Franklin Gothic Book;sans-serif" w:hAnsi="Franklin Gothic Book;sans-serif"/>
                <w:b w:val="false"/>
                <w:color w:val="026DCE"/>
                <w:sz w:val="20"/>
              </w:rPr>
              <w:t>$1,712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$1,763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Revenue from anti-CD20 therapeutic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26DCE"/>
                <w:sz w:val="20"/>
              </w:rPr>
            </w:pPr>
            <w:r>
              <w:rPr>
                <w:rFonts w:ascii="Franklin Gothic Book;sans-serif" w:hAnsi="Franklin Gothic Book;sans-serif"/>
                <w:b w:val="false"/>
                <w:color w:val="026DCE"/>
                <w:sz w:val="20"/>
              </w:rPr>
              <w:t>$394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Contract manufacturing, royalty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26DCE"/>
                <w:sz w:val="20"/>
              </w:rPr>
            </w:pPr>
            <w:r>
              <w:rPr>
                <w:rFonts w:ascii="Franklin Gothic Book;sans-serif" w:hAnsi="Franklin Gothic Book;sans-serif"/>
                <w:b w:val="false"/>
                <w:color w:val="026DCE"/>
                <w:sz w:val="20"/>
              </w:rPr>
              <w:t>$185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26DCE"/>
                <w:sz w:val="20"/>
              </w:rPr>
            </w:pPr>
            <w:r>
              <w:rPr>
                <w:rFonts w:ascii="Franklin Gothic Book;sans-serif" w:hAnsi="Franklin Gothic Book;sans-serif"/>
                <w:b w:val="false"/>
                <w:color w:val="026DCE"/>
                <w:sz w:val="20"/>
              </w:rPr>
              <w:t>$2,290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$2,463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Note: Percent changes represented as favorable/(unfavorable) versus the prior year period. Numbers may not foot or recalculate due to rounding.</w:t>
      </w:r>
    </w:p>
    <w:p>
      <w:pPr>
        <w:pStyle w:val="TextBody"/>
        <w:bidi w:val="0"/>
        <w:spacing w:lineRule="auto" w:line="268" w:before="0" w:after="0"/>
        <w:jc w:val="left"/>
        <w:rPr/>
      </w:pPr>
      <w:r>
        <w:rPr>
          <w:rFonts w:ascii="Franklin Gothic Book;sans-serif" w:hAnsi="Franklin Gothic Book;sans-serif"/>
          <w:b w:val="false"/>
          <w:color w:val="000000"/>
          <w:sz w:val="12"/>
        </w:rPr>
        <w:t>(1)</w:t>
      </w:r>
      <w:r>
        <w:rPr>
          <w:color w:val="000000"/>
        </w:rPr>
        <w:t xml:space="preserve"> </w:t>
      </w:r>
      <w:r>
        <w:rPr>
          <w:rFonts w:ascii="Franklin Gothic Book;sans-serif" w:hAnsi="Franklin Gothic Book;sans-serif"/>
          <w:b w:val="false"/>
          <w:color w:val="000000"/>
          <w:sz w:val="18"/>
        </w:rPr>
        <w:t>Multiple sclerosis includes TECFIDERA®, VUMERITY®, AVONEX®, PLEGRIDY®, TYSABRI® and FAMPYRA™.</w:t>
      </w:r>
    </w:p>
    <w:p>
      <w:pPr>
        <w:pStyle w:val="TextBody"/>
        <w:bidi w:val="0"/>
        <w:spacing w:lineRule="auto" w:line="268" w:before="0" w:after="0"/>
        <w:jc w:val="left"/>
        <w:rPr/>
      </w:pPr>
      <w:r>
        <w:rPr>
          <w:rFonts w:ascii="Franklin Gothic Book;sans-serif" w:hAnsi="Franklin Gothic Book;sans-serif"/>
          <w:b w:val="false"/>
          <w:color w:val="000000"/>
          <w:sz w:val="12"/>
        </w:rPr>
        <w:t>(2)</w:t>
      </w:r>
      <w:r>
        <w:rPr>
          <w:color w:val="000000"/>
        </w:rPr>
        <w:t xml:space="preserve"> </w:t>
      </w:r>
      <w:r>
        <w:rPr>
          <w:rFonts w:ascii="Franklin Gothic Book;sans-serif" w:hAnsi="Franklin Gothic Book;sans-serif"/>
          <w:b w:val="false"/>
          <w:color w:val="000000"/>
          <w:sz w:val="18"/>
        </w:rPr>
        <w:t>Rare disease includes SPINRAZA®, QALSODY® and SKYCLARYS®.</w:t>
      </w:r>
    </w:p>
    <w:p>
      <w:pPr>
        <w:pStyle w:val="TextBody"/>
        <w:bidi w:val="0"/>
        <w:spacing w:lineRule="auto" w:line="256" w:before="0" w:after="0"/>
        <w:jc w:val="left"/>
        <w:rPr/>
      </w:pPr>
      <w:r>
        <w:rPr>
          <w:rFonts w:ascii="Franklin Gothic Book;sans-serif" w:hAnsi="Franklin Gothic Book;sans-serif"/>
          <w:b w:val="false"/>
          <w:color w:val="000000"/>
          <w:sz w:val="12"/>
        </w:rPr>
        <w:t>(3)</w:t>
      </w:r>
      <w:r>
        <w:rPr>
          <w:color w:val="000000"/>
        </w:rPr>
        <w:t xml:space="preserve"> </w:t>
      </w:r>
      <w:r>
        <w:rPr>
          <w:rFonts w:ascii="Franklin Gothic Book;sans-serif" w:hAnsi="Franklin Gothic Book;sans-serif"/>
          <w:b w:val="false"/>
          <w:color w:val="000000"/>
          <w:sz w:val="18"/>
        </w:rPr>
        <w:t xml:space="preserve">Other includes ADUHELM®, FUMADERM™ and ZURZUVAE™. </w:t>
      </w:r>
    </w:p>
    <w:p>
      <w:pPr>
        <w:pStyle w:val="TextBody"/>
        <w:bidi w:val="0"/>
        <w:spacing w:lineRule="auto" w:line="268" w:before="300" w:after="283"/>
        <w:ind w:left="0" w:right="0" w:hanging="360"/>
        <w:jc w:val="left"/>
        <w:rPr/>
      </w:pPr>
      <w:r>
        <w:rPr>
          <w:color w:val="0070C0"/>
        </w:rPr>
        <w:t>•</w:t>
      </w:r>
      <w:r>
        <w:rPr>
          <w:rFonts w:ascii="Franklin Gothic Book;sans-serif" w:hAnsi="Franklin Gothic Book;sans-serif"/>
          <w:b w:val="false"/>
          <w:color w:val="000000"/>
          <w:sz w:val="22"/>
        </w:rPr>
        <w:t>First quarter 2024 ZURZUVAE revenue was approximately $12 million.</w:t>
      </w:r>
    </w:p>
    <w:p>
      <w:pPr>
        <w:pStyle w:val="TextBody"/>
        <w:bidi w:val="0"/>
        <w:spacing w:lineRule="auto" w:line="268" w:before="300" w:after="283"/>
        <w:jc w:val="left"/>
        <w:rPr>
          <w:rFonts w:ascii="Franklin Gothic Book;sans-serif" w:hAnsi="Franklin Gothic Book;sans-serif"/>
          <w:b/>
          <w:color w:val="000000"/>
          <w:sz w:val="22"/>
        </w:rPr>
      </w:pPr>
      <w:r>
        <w:rPr>
          <w:rFonts w:ascii="Franklin Gothic Book;sans-serif" w:hAnsi="Franklin Gothic Book;sans-serif"/>
          <w:b/>
          <w:color w:val="000000"/>
          <w:sz w:val="22"/>
        </w:rPr>
        <w:t>Expense Summary</w:t>
      </w:r>
    </w:p>
    <w:tbl>
      <w:tblPr>
        <w:tblW w:w="6446" w:type="dxa"/>
        <w:jc w:val="left"/>
        <w:tblInd w:w="0" w:type="dxa"/>
        <w:tblLayout w:type="fixed"/>
        <w:tblCellMar>
          <w:top w:w="28" w:type="dxa"/>
          <w:left w:w="28" w:type="dxa"/>
          <w:bottom w:w="28" w:type="dxa"/>
          <w:right w:w="28" w:type="dxa"/>
        </w:tblCellMar>
      </w:tblPr>
      <w:tblGrid>
        <w:gridCol w:w="950"/>
        <w:gridCol w:w="836"/>
        <w:gridCol w:w="838"/>
        <w:gridCol w:w="109"/>
        <w:gridCol w:w="109"/>
        <w:gridCol w:w="109"/>
        <w:gridCol w:w="269"/>
        <w:gridCol w:w="269"/>
        <w:gridCol w:w="271"/>
        <w:gridCol w:w="109"/>
        <w:gridCol w:w="109"/>
        <w:gridCol w:w="109"/>
        <w:gridCol w:w="269"/>
        <w:gridCol w:w="269"/>
        <w:gridCol w:w="271"/>
        <w:gridCol w:w="109"/>
        <w:gridCol w:w="109"/>
        <w:gridCol w:w="109"/>
        <w:gridCol w:w="174"/>
        <w:gridCol w:w="174"/>
        <w:gridCol w:w="176"/>
        <w:gridCol w:w="109"/>
        <w:gridCol w:w="109"/>
        <w:gridCol w:w="109"/>
        <w:gridCol w:w="109"/>
        <w:gridCol w:w="109"/>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3BA"/>
                <w:sz w:val="20"/>
              </w:rPr>
            </w:pPr>
            <w:r>
              <w:rPr>
                <w:rFonts w:ascii="Franklin Gothic Book;sans-serif" w:hAnsi="Franklin Gothic Book;sans-serif"/>
                <w:b/>
                <w:color w:val="2573BA"/>
                <w:sz w:val="20"/>
              </w:rPr>
              <w:t>Q1 '24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Q1 '23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GAAP cost of sales</w:t>
            </w:r>
            <w:r>
              <w:rPr>
                <w:rFonts w:ascii="Franklin Gothic Book;sans-serif" w:hAnsi="Franklin Gothic Book;sans-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26DCE"/>
                <w:sz w:val="20"/>
              </w:rPr>
            </w:pPr>
            <w:r>
              <w:rPr>
                <w:rFonts w:ascii="Franklin Gothic Book;sans-serif" w:hAnsi="Franklin Gothic Book;sans-serif"/>
                <w:b w:val="false"/>
                <w:color w:val="026DCE"/>
                <w:sz w:val="20"/>
              </w:rPr>
              <w:t>$542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18"/>
              </w:rPr>
            </w:pPr>
            <w:r>
              <w:rPr>
                <w:rFonts w:ascii="Franklin Gothic Book;sans-serif" w:hAnsi="Franklin Gothic Book;sans-serif"/>
                <w:b w:val="false"/>
                <w:i/>
                <w:color w:val="000000"/>
                <w:sz w:val="18"/>
              </w:rPr>
              <w:t>%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i/>
                <w:color w:val="026DCE"/>
                <w:sz w:val="18"/>
              </w:rPr>
            </w:pPr>
            <w:r>
              <w:rPr>
                <w:rFonts w:ascii="Franklin Gothic Book;sans-serif" w:hAnsi="Franklin Gothic Book;sans-serif"/>
                <w:b w:val="false"/>
                <w:i/>
                <w:color w:val="026DCE"/>
                <w:sz w:val="18"/>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i/>
                <w:color w:val="000000"/>
                <w:sz w:val="18"/>
              </w:rPr>
            </w:pPr>
            <w:r>
              <w:rPr>
                <w:rFonts w:ascii="Franklin Gothic Book;sans-serif" w:hAnsi="Franklin Gothic Book;sans-serif"/>
                <w:b w:val="false"/>
                <w:i/>
                <w:color w:val="000000"/>
                <w:sz w:val="18"/>
              </w:rPr>
              <w:t>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Non-GAAP cost of sales</w:t>
            </w:r>
            <w:r>
              <w:rPr>
                <w:rFonts w:ascii="Franklin Gothic Book;sans-serif" w:hAnsi="Franklin Gothic Book;sans-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26DCE"/>
                <w:sz w:val="20"/>
              </w:rPr>
            </w:pPr>
            <w:r>
              <w:rPr>
                <w:rFonts w:ascii="Franklin Gothic Book;sans-serif" w:hAnsi="Franklin Gothic Book;sans-serif"/>
                <w:b w:val="false"/>
                <w:color w:val="026DCE"/>
                <w:sz w:val="20"/>
              </w:rPr>
              <w:t>$500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18"/>
              </w:rPr>
            </w:pPr>
            <w:r>
              <w:rPr>
                <w:rFonts w:ascii="Franklin Gothic Book;sans-serif" w:hAnsi="Franklin Gothic Book;sans-serif"/>
                <w:b w:val="false"/>
                <w:i/>
                <w:color w:val="000000"/>
                <w:sz w:val="18"/>
              </w:rPr>
              <w:t>%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i/>
                <w:color w:val="026DCE"/>
                <w:sz w:val="18"/>
              </w:rPr>
            </w:pPr>
            <w:r>
              <w:rPr>
                <w:rFonts w:ascii="Franklin Gothic Book;sans-serif" w:hAnsi="Franklin Gothic Book;sans-serif"/>
                <w:b w:val="false"/>
                <w:i/>
                <w:color w:val="026DCE"/>
                <w:sz w:val="18"/>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i/>
                <w:color w:val="000000"/>
                <w:sz w:val="18"/>
              </w:rPr>
            </w:pPr>
            <w:r>
              <w:rPr>
                <w:rFonts w:ascii="Franklin Gothic Book;sans-serif" w:hAnsi="Franklin Gothic Book;sans-serif"/>
                <w:b w:val="false"/>
                <w:i/>
                <w:color w:val="000000"/>
                <w:sz w:val="18"/>
              </w:rPr>
              <w:t>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GAAP R&amp;D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26DCE"/>
                <w:sz w:val="20"/>
              </w:rPr>
            </w:pPr>
            <w:r>
              <w:rPr>
                <w:rFonts w:ascii="Franklin Gothic Book;sans-serif" w:hAnsi="Franklin Gothic Book;sans-serif"/>
                <w:b w:val="false"/>
                <w:color w:val="026DCE"/>
                <w:sz w:val="20"/>
              </w:rPr>
              <w:t>$453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Non-GAAP R&amp;D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26DCE"/>
                <w:sz w:val="20"/>
              </w:rPr>
            </w:pPr>
            <w:r>
              <w:rPr>
                <w:rFonts w:ascii="Franklin Gothic Book;sans-serif" w:hAnsi="Franklin Gothic Book;sans-serif"/>
                <w:b w:val="false"/>
                <w:color w:val="026DCE"/>
                <w:sz w:val="20"/>
              </w:rPr>
              <w:t>$447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GAAP SG&amp;A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26DCE"/>
                <w:sz w:val="20"/>
              </w:rPr>
            </w:pPr>
            <w:r>
              <w:rPr>
                <w:rFonts w:ascii="Franklin Gothic Book;sans-serif" w:hAnsi="Franklin Gothic Book;sans-serif"/>
                <w:b w:val="false"/>
                <w:color w:val="026DCE"/>
                <w:sz w:val="20"/>
              </w:rPr>
              <w:t>$582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Non-GAAP SG&amp;A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26DCE"/>
                <w:sz w:val="20"/>
              </w:rPr>
            </w:pPr>
            <w:r>
              <w:rPr>
                <w:rFonts w:ascii="Franklin Gothic Book;sans-serif" w:hAnsi="Franklin Gothic Book;sans-serif"/>
                <w:b w:val="false"/>
                <w:color w:val="026DCE"/>
                <w:sz w:val="20"/>
              </w:rPr>
              <w:t>$569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Note: Percent changes represented as favorable/(unfavorable) versus the prior year period</w:t>
      </w:r>
    </w:p>
    <w:p>
      <w:pPr>
        <w:pStyle w:val="TextBody"/>
        <w:bidi w:val="0"/>
        <w:spacing w:lineRule="auto" w:line="268" w:before="0" w:after="0"/>
        <w:jc w:val="left"/>
        <w:rPr/>
      </w:pPr>
      <w:r>
        <w:rPr>
          <w:rFonts w:ascii="Franklin Gothic Book;sans-serif" w:hAnsi="Franklin Gothic Book;sans-serif"/>
          <w:b w:val="false"/>
          <w:color w:val="000000"/>
          <w:sz w:val="12"/>
        </w:rPr>
        <w:t>*</w:t>
      </w:r>
      <w:r>
        <w:rPr>
          <w:color w:val="000000"/>
        </w:rPr>
        <w:t xml:space="preserve"> </w:t>
      </w:r>
      <w:r>
        <w:rPr>
          <w:rFonts w:ascii="Franklin Gothic Book;sans-serif" w:hAnsi="Franklin Gothic Book;sans-serif"/>
          <w:b w:val="false"/>
          <w:color w:val="000000"/>
          <w:sz w:val="18"/>
        </w:rPr>
        <w:t>Excluding amortization and impairment of acquired intangible assets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70C0"/>
          <w:shd w:fill="FFFFFF" w:val="clear"/>
        </w:rPr>
        <w:t>•</w:t>
      </w:r>
      <w:r>
        <w:rPr>
          <w:rFonts w:ascii="Franklin Gothic Book;sans-serif" w:hAnsi="Franklin Gothic Book;sans-serif"/>
          <w:b w:val="false"/>
          <w:color w:val="000000"/>
          <w:sz w:val="22"/>
        </w:rPr>
        <w:t>There were no idle capacity charges in the first quarter of 2024. First quarter 2023 GAAP and Non-GAAP cost of sales includes approximately $45 million of idle capacity charges. The decrease in first quarter 2024 GAAP and Non-GAAP cost of sales as a percentage of total revenue was driven primarily by product mix, particularly the year-over-year increase in revenue from new product launches and decrease in contract manufacturing revenue, as well as less idle capacity charges.</w:t>
      </w:r>
    </w:p>
    <w:p>
      <w:pPr>
        <w:pStyle w:val="TextBody"/>
        <w:bidi w:val="0"/>
        <w:spacing w:before="0" w:after="0"/>
        <w:jc w:val="left"/>
        <w:rPr/>
      </w:pPr>
      <w:r>
        <w:rPr/>
      </w:r>
    </w:p>
    <w:p>
      <w:pPr>
        <w:pStyle w:val="TextBody"/>
        <w:bidi w:val="0"/>
        <w:spacing w:lineRule="auto" w:line="268"/>
        <w:ind w:left="0" w:right="0" w:hanging="360"/>
        <w:jc w:val="left"/>
        <w:rPr/>
      </w:pPr>
      <w:r>
        <w:rPr>
          <w:color w:val="0070C0"/>
          <w:shd w:fill="FFFFFF" w:val="clear"/>
        </w:rPr>
        <w:t>•</w:t>
      </w:r>
      <w:r>
        <w:rPr>
          <w:rFonts w:ascii="Franklin Gothic Book;sans-serif" w:hAnsi="Franklin Gothic Book;sans-serif"/>
          <w:b w:val="false"/>
          <w:color w:val="000000"/>
          <w:sz w:val="22"/>
        </w:rPr>
        <w:t xml:space="preserve">In the first quarter 2024 as compared to the first quarter of 2023, the decrease in GAAP R&amp;D and SG&amp;A expense of approximately $118 million and $24 million, respectively, and the decrease in Non-GAAP R&amp;D and SG&amp;A expense of approximately $124 million and $33 million, respectively, was primarily due to savings achieved from our Fit for Growth and R&amp;D portfolio prioritization initiatives. First quarter 2023 GAAP and Non-GAAP SG&amp;A expense includes approximately $31 million related to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7955"/>
                <wp:effectExtent l="0" t="0" r="0" b="0"/>
                <wp:wrapNone/>
                <wp:docPr id="6"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2</w:t>
                      </w:r>
                    </w:p>
                  </w:txbxContent>
                </v:textbox>
                <w10:wrap type="none"/>
              </v:rect>
            </w:pict>
          </mc:Fallback>
        </mc:AlternateContent>
      </w:r>
    </w:p>
    <w:p>
      <w:pPr>
        <w:pStyle w:val="TextBody"/>
        <w:bidi w:val="0"/>
        <w:spacing w:lineRule="auto" w:line="268"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the termination of the co-promotion agreement with Eisai for Biogen’s multiple sclerosis products in Japan.</w:t>
      </w:r>
    </w:p>
    <w:p>
      <w:pPr>
        <w:pStyle w:val="TextBody"/>
        <w:bidi w:val="0"/>
        <w:spacing w:lineRule="auto" w:line="268" w:before="300" w:after="283"/>
        <w:jc w:val="left"/>
        <w:rPr>
          <w:rFonts w:ascii="Franklin Gothic Book;sans-serif" w:hAnsi="Franklin Gothic Book;sans-serif"/>
          <w:b/>
          <w:color w:val="000000"/>
          <w:sz w:val="22"/>
        </w:rPr>
      </w:pPr>
      <w:r>
        <w:rPr>
          <w:rFonts w:ascii="Franklin Gothic Book;sans-serif" w:hAnsi="Franklin Gothic Book;sans-serif"/>
          <w:b/>
          <w:color w:val="000000"/>
          <w:sz w:val="22"/>
        </w:rPr>
        <w:t>Other Financial Highlights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70C0"/>
        </w:rPr>
        <w:t>•</w:t>
      </w:r>
      <w:r>
        <w:rPr>
          <w:rFonts w:ascii="Franklin Gothic Book;sans-serif" w:hAnsi="Franklin Gothic Book;sans-serif"/>
          <w:b w:val="false"/>
          <w:color w:val="000000"/>
          <w:sz w:val="22"/>
        </w:rPr>
        <w:t xml:space="preserve">First quarter 2024 GAAP and Non-GAAP collaboration profit sharing was a net expense of $66 million, which includes $61 million related to Biogen’s collaboration with Samsung Bioepis, and $5 million to Sage Therapeutics related to the commercialization of ZURZUVAE in the U.S.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70C0"/>
        </w:rPr>
        <w:t>•</w:t>
      </w:r>
      <w:r>
        <w:rPr>
          <w:rFonts w:ascii="Franklin Gothic Book;sans-serif" w:hAnsi="Franklin Gothic Book;sans-serif"/>
          <w:b w:val="false"/>
          <w:color w:val="000000"/>
          <w:sz w:val="22"/>
        </w:rPr>
        <w:t>First quarter 2024 GAAP other expense was $94 million, primarily driven by net interest expense and net unrealized losses on strategic equity investments of $31 million. First quarter 2024 Non-GAAP other expense was $63 million, primarily driven by net interest expense.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70C0"/>
        </w:rPr>
        <w:t>•</w:t>
      </w:r>
      <w:r>
        <w:rPr>
          <w:rFonts w:ascii="Franklin Gothic Book;sans-serif" w:hAnsi="Franklin Gothic Book;sans-serif"/>
          <w:b w:val="false"/>
          <w:color w:val="000000"/>
          <w:sz w:val="22"/>
        </w:rPr>
        <w:t>First quarter 2024 GAAP and Non-GAAP effective tax rates were 15.4% and 15.9%, respectively. First quarter 2023 GAAP and Non-GAAP effective tax rates were 11.6% and 13.5%, respectively, and benefited from the resolution of an uncertain tax matter and higher non-cash tax benefits from changes in the value of our equity investments.</w:t>
      </w:r>
    </w:p>
    <w:p>
      <w:pPr>
        <w:pStyle w:val="TextBody"/>
        <w:bidi w:val="0"/>
        <w:spacing w:lineRule="auto" w:line="276" w:before="180" w:after="283"/>
        <w:ind w:left="0" w:right="0" w:hanging="360"/>
        <w:jc w:val="left"/>
        <w:rPr>
          <w:rFonts w:ascii="Franklin Gothic Book;sans-serif" w:hAnsi="Franklin Gothic Book;sans-serif"/>
          <w:b/>
          <w:color w:val="000000"/>
          <w:sz w:val="22"/>
        </w:rPr>
      </w:pPr>
      <w:r>
        <w:rPr>
          <w:rFonts w:ascii="Franklin Gothic Book;sans-serif" w:hAnsi="Franklin Gothic Book;sans-serif"/>
          <w:b/>
          <w:color w:val="000000"/>
          <w:sz w:val="22"/>
        </w:rPr>
        <w:t>Financial Position</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color w:val="0070C0"/>
        </w:rPr>
        <w:t>•</w:t>
      </w:r>
      <w:r>
        <w:rPr>
          <w:rFonts w:ascii="Franklin Gothic Book;sans-serif" w:hAnsi="Franklin Gothic Book;sans-serif"/>
          <w:b w:val="false"/>
          <w:color w:val="000000"/>
          <w:sz w:val="22"/>
        </w:rPr>
        <w:t>First quarter 2024 net cash flow from operations was $553 million. Capital expenditures were $46 million, and free cash flow, defined as net cash flow from operations less capital expenditures, was $507 million.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70C0"/>
        </w:rPr>
        <w:t>•</w:t>
      </w:r>
      <w:r>
        <w:rPr>
          <w:rFonts w:ascii="Franklin Gothic Book;sans-serif" w:hAnsi="Franklin Gothic Book;sans-serif"/>
          <w:b w:val="false"/>
          <w:color w:val="000000"/>
          <w:sz w:val="22"/>
        </w:rPr>
        <w:t xml:space="preserve">As of March 31, 2024, Biogen had cash, cash equivalents, and marketable securities totaling approximately $1.1 billion and approximately $6.5 billion in total debt, resulting in net debt of approximately $5.5 billion. As of March 31, 2024 $750 million of the 2023 Term Loan which was put in place at the time of the Reata acquisition had been repaid, with the remaining $250 million expected to be repaid during the second quarter of 2024.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Franklin Gothic Book;sans-serif" w:hAnsi="Franklin Gothic Book;sans-serif"/>
          <w:b w:val="false"/>
          <w:color w:val="000000"/>
          <w:sz w:val="22"/>
        </w:rPr>
        <w:t>Subsequent to the end of the first quarter of 2024, Biogen received its scheduled installment payment of approximately $437 million from Samsung BioLogics related to Biogen's sale of its JV equity stake in Samsung Bioepis.</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color w:val="0070C0"/>
        </w:rPr>
        <w:t>•</w:t>
      </w:r>
      <w:r>
        <w:rPr>
          <w:rFonts w:ascii="Franklin Gothic Book;sans-serif" w:hAnsi="Franklin Gothic Book;sans-serif"/>
          <w:b w:val="false"/>
          <w:color w:val="000000"/>
          <w:sz w:val="22"/>
        </w:rPr>
        <w:t>No shares of the Company’s common stock were repurchased in the first quarter of 2024. As of March 31, 2024, there was $2.1 billion remaining under the share repurchase program authorized in October 2020.</w:t>
      </w:r>
    </w:p>
    <w:p>
      <w:pPr>
        <w:pStyle w:val="TextBody"/>
        <w:bidi w:val="0"/>
        <w:spacing w:before="0" w:after="0"/>
        <w:jc w:val="left"/>
        <w:rPr/>
      </w:pPr>
      <w:r>
        <w:rPr/>
      </w:r>
    </w:p>
    <w:p>
      <w:pPr>
        <w:pStyle w:val="TextBody"/>
        <w:bidi w:val="0"/>
        <w:spacing w:lineRule="auto" w:line="268" w:before="0" w:after="0"/>
        <w:ind w:left="0" w:right="0" w:hanging="360"/>
        <w:jc w:val="left"/>
        <w:rPr/>
      </w:pPr>
      <w:r>
        <w:rPr>
          <w:color w:val="0070C0"/>
        </w:rPr>
        <w:t>•</w:t>
      </w:r>
      <w:r>
        <w:rPr>
          <w:rFonts w:ascii="Franklin Gothic Book;sans-serif" w:hAnsi="Franklin Gothic Book;sans-serif"/>
          <w:b w:val="false"/>
          <w:color w:val="000000"/>
          <w:sz w:val="22"/>
        </w:rPr>
        <w:t xml:space="preserve">For the first quarter of 2024 the Company’s weighted average diluted shares were 146 million. </w:t>
      </w:r>
    </w:p>
    <w:p>
      <w:pPr>
        <w:pStyle w:val="TextBody"/>
        <w:bidi w:val="0"/>
        <w:spacing w:before="0" w:after="0"/>
        <w:jc w:val="left"/>
        <w:rPr/>
      </w:pPr>
      <w:r>
        <w:rPr/>
      </w:r>
    </w:p>
    <w:p>
      <w:pPr>
        <w:pStyle w:val="TextBody"/>
        <w:bidi w:val="0"/>
        <w:spacing w:lineRule="auto" w:line="268" w:before="0" w:after="0"/>
        <w:jc w:val="left"/>
        <w:rPr>
          <w:rFonts w:ascii="Franklin Gothic Book;sans-serif" w:hAnsi="Franklin Gothic Book;sans-serif"/>
          <w:b/>
          <w:color w:val="000000"/>
          <w:sz w:val="22"/>
        </w:rPr>
      </w:pPr>
      <w:r>
        <w:rPr>
          <w:rFonts w:ascii="Franklin Gothic Book;sans-serif" w:hAnsi="Franklin Gothic Book;sans-serif"/>
          <w:b/>
          <w:color w:val="000000"/>
          <w:sz w:val="22"/>
        </w:rPr>
        <w:t>Full Year 2024 Financial Guidance</w:t>
      </w:r>
    </w:p>
    <w:p>
      <w:pPr>
        <w:pStyle w:val="TextBody"/>
        <w:bidi w:val="0"/>
        <w:spacing w:before="0" w:after="0"/>
        <w:jc w:val="left"/>
        <w:rPr/>
      </w:pPr>
      <w:r>
        <w:rPr/>
      </w:r>
    </w:p>
    <w:p>
      <w:pPr>
        <w:pStyle w:val="TextBody"/>
        <w:bidi w:val="0"/>
        <w:spacing w:lineRule="auto" w:line="268"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For the full year 2024, Biogen continues to expect a Non-GAAP diluted EPS guidance range as follows:</w:t>
      </w:r>
    </w:p>
    <w:tbl>
      <w:tblPr>
        <w:tblW w:w="7617" w:type="dxa"/>
        <w:jc w:val="center"/>
        <w:tblInd w:w="0" w:type="dxa"/>
        <w:tblLayout w:type="fixed"/>
        <w:tblCellMar>
          <w:top w:w="28" w:type="dxa"/>
          <w:left w:w="28" w:type="dxa"/>
          <w:bottom w:w="28" w:type="dxa"/>
          <w:right w:w="28" w:type="dxa"/>
        </w:tblCellMar>
      </w:tblPr>
      <w:tblGrid>
        <w:gridCol w:w="951"/>
        <w:gridCol w:w="835"/>
        <w:gridCol w:w="839"/>
        <w:gridCol w:w="109"/>
        <w:gridCol w:w="109"/>
        <w:gridCol w:w="109"/>
        <w:gridCol w:w="1364"/>
        <w:gridCol w:w="1364"/>
        <w:gridCol w:w="1937"/>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Franklin Gothic Book;sans-serif" w:hAnsi="Franklin Gothic Book;sans-serif"/>
                <w:b/>
                <w:color w:val="026DCE"/>
                <w:sz w:val="22"/>
              </w:rPr>
            </w:pPr>
            <w:r>
              <w:rPr>
                <w:rFonts w:ascii="Franklin Gothic Book;sans-serif" w:hAnsi="Franklin Gothic Book;sans-serif"/>
                <w:b/>
                <w:color w:val="026DCE"/>
                <w:sz w:val="22"/>
              </w:rPr>
              <w:t>Reaffirmed Full Year 2024 Guidance</w:t>
            </w:r>
          </w:p>
        </w:tc>
      </w:tr>
      <w:tr>
        <w:trPr/>
        <w:tc>
          <w:tcPr>
            <w:tcW w:w="2625" w:type="dxa"/>
            <w:gridSpan w:val="3"/>
            <w:tcBorders>
              <w:top w:val="single" w:sz="4" w:space="0" w:color="000000"/>
              <w:bottom w:val="dashed" w:sz="4"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Non-GAAP 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op w:val="single" w:sz="4" w:space="0" w:color="000000"/>
              <w:bottom w:val="dashed" w:sz="4" w:space="0" w:color="000000"/>
            </w:tcBorders>
            <w:shd w:fill="DBDBDB" w:val="clear"/>
            <w:tcMar>
              <w:top w:w="30" w:type="dxa"/>
              <w:left w:w="0" w:type="dxa"/>
              <w:bottom w:w="30" w:type="dxa"/>
              <w:right w:w="0" w:type="dxa"/>
            </w:tcMar>
            <w:vAlign w:val="center"/>
          </w:tcPr>
          <w:p>
            <w:pPr>
              <w:pStyle w:val="TableContents"/>
              <w:bidi w:val="0"/>
              <w:spacing w:lineRule="auto" w:line="268" w:before="0" w:after="0"/>
              <w:jc w:val="center"/>
              <w:rPr>
                <w:rFonts w:ascii="Franklin Gothic Book;sans-serif" w:hAnsi="Franklin Gothic Book;sans-serif"/>
                <w:b/>
                <w:color w:val="026DCE"/>
                <w:sz w:val="22"/>
              </w:rPr>
            </w:pPr>
            <w:r>
              <w:rPr>
                <w:rFonts w:ascii="Franklin Gothic Book;sans-serif" w:hAnsi="Franklin Gothic Book;sans-serif"/>
                <w:b/>
                <w:color w:val="026DCE"/>
                <w:sz w:val="22"/>
              </w:rPr>
              <w:t>$15.00 to $16.00</w:t>
            </w:r>
          </w:p>
          <w:p>
            <w:pPr>
              <w:pStyle w:val="TableContents"/>
              <w:bidi w:val="0"/>
              <w:spacing w:lineRule="auto" w:line="268" w:before="60" w:after="283"/>
              <w:jc w:val="center"/>
              <w:rPr/>
            </w:pPr>
            <w:r>
              <w:rPr>
                <w:rFonts w:ascii="Franklin Gothic Book;sans-serif" w:hAnsi="Franklin Gothic Book;sans-serif"/>
                <w:b w:val="false"/>
                <w:color w:val="026DCE"/>
                <w:sz w:val="20"/>
              </w:rPr>
              <w:t>Reflecting growth of ~5% at the mid-point</w:t>
            </w:r>
            <w:r>
              <w:rPr>
                <w:rFonts w:ascii="Franklin Gothic Book;sans-serif" w:hAnsi="Franklin Gothic Book;sans-serif"/>
                <w:b w:val="false"/>
                <w:color w:val="026DCE"/>
                <w:sz w:val="14"/>
              </w:rPr>
              <w:t>*</w:t>
            </w:r>
          </w:p>
        </w:tc>
      </w:tr>
    </w:tbl>
    <w:p>
      <w:pPr>
        <w:pStyle w:val="TextBody"/>
        <w:bidi w:val="0"/>
        <w:spacing w:before="0" w:after="0"/>
        <w:ind w:left="0" w:right="0" w:hanging="360"/>
        <w:jc w:val="left"/>
        <w:rPr/>
      </w:pPr>
      <w:r>
        <w:rPr/>
      </w:r>
    </w:p>
    <w:p>
      <w:pPr>
        <w:pStyle w:val="TextBody"/>
        <w:bidi w:val="0"/>
        <w:spacing w:lineRule="auto" w:line="268" w:before="0" w:after="0"/>
        <w:jc w:val="left"/>
        <w:rPr/>
      </w:pPr>
      <w:r>
        <w:rPr>
          <w:rFonts w:ascii="Times New Roman;sans-serif" w:hAnsi="Times New Roman;sans-serif"/>
          <w:b w:val="false"/>
          <w:color w:val="000000"/>
          <w:sz w:val="13"/>
        </w:rPr>
        <w:t>*</w:t>
      </w:r>
      <w:r>
        <w:rPr>
          <w:rFonts w:ascii="Franklin Gothic Book;sans-serif" w:hAnsi="Franklin Gothic Book;sans-serif"/>
          <w:b w:val="false"/>
          <w:color w:val="000000"/>
          <w:sz w:val="22"/>
        </w:rPr>
        <w:t>Versus reported full year 2023</w:t>
      </w:r>
    </w:p>
    <w:p>
      <w:pPr>
        <w:pStyle w:val="TextBody"/>
        <w:bidi w:val="0"/>
        <w:spacing w:before="0" w:after="0"/>
        <w:jc w:val="left"/>
        <w:rPr/>
      </w:pPr>
      <w:r>
        <w:rPr/>
      </w:r>
    </w:p>
    <w:p>
      <w:pPr>
        <w:pStyle w:val="TextBody"/>
        <w:bidi w:val="0"/>
        <w:spacing w:lineRule="auto" w:line="268"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While total revenue is expected to decline by a low- to mid-single digit percentage, Biogen continues to expect core pharmaceutical revenue, defined as product revenue plus Biogen's 50% share of net LEQEMBI product revenue and cost of sales, including royalties, to be relatively flat for 2024 compared to 2023 as further declines in multiple sclerosis product revenue are expected to be offset by increases in revenue from new product launches.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7955"/>
                <wp:effectExtent l="0" t="0" r="0" b="0"/>
                <wp:wrapNone/>
                <wp:docPr id="7"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3</w:t>
                      </w:r>
                    </w:p>
                  </w:txbxContent>
                </v:textbox>
                <w10:wrap type="none"/>
              </v:rect>
            </w:pict>
          </mc:Fallback>
        </mc:AlternateContent>
      </w:r>
    </w:p>
    <w:p>
      <w:pPr>
        <w:pStyle w:val="TextBody"/>
        <w:bidi w:val="0"/>
        <w:spacing w:lineRule="auto" w:line="268"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Biogen continues to expect an improvement in the cost of sales as a percentage of total revenue for 2024 compared to 2023 driven by product mix and significantly lower idle capacity charges.</w:t>
      </w:r>
    </w:p>
    <w:p>
      <w:pPr>
        <w:pStyle w:val="TextBody"/>
        <w:bidi w:val="0"/>
        <w:spacing w:before="0" w:after="0"/>
        <w:jc w:val="left"/>
        <w:rPr/>
      </w:pPr>
      <w:r>
        <w:rPr/>
      </w:r>
    </w:p>
    <w:p>
      <w:pPr>
        <w:pStyle w:val="TextBody"/>
        <w:bidi w:val="0"/>
        <w:spacing w:lineRule="auto" w:line="276"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For 2024 compared to 2023, Biogen continues to expect operating income to grow at a low-double digit percentage. This is expected to be driven by improved cost of sales as a percentage of revenue, as well as lower operating expenses as a result of the Company's Fit for Growth program. </w:t>
      </w:r>
    </w:p>
    <w:p>
      <w:pPr>
        <w:pStyle w:val="TextBody"/>
        <w:bidi w:val="0"/>
        <w:spacing w:before="0" w:after="0"/>
        <w:jc w:val="left"/>
        <w:rPr/>
      </w:pPr>
      <w:r>
        <w:rPr/>
      </w:r>
    </w:p>
    <w:p>
      <w:pPr>
        <w:pStyle w:val="TextBody"/>
        <w:bidi w:val="0"/>
        <w:spacing w:lineRule="auto" w:line="268"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This guidance also assumes that foreign exchange rates as of April 19, 2024, will remain in effect for the remainder of the year, net of hedging activities. Other modeling considerations will be provided on the conference call and webcast.</w:t>
      </w:r>
    </w:p>
    <w:p>
      <w:pPr>
        <w:pStyle w:val="TextBody"/>
        <w:bidi w:val="0"/>
        <w:spacing w:before="0" w:after="0"/>
        <w:jc w:val="left"/>
        <w:rPr/>
      </w:pPr>
      <w:r>
        <w:rPr/>
      </w:r>
    </w:p>
    <w:p>
      <w:pPr>
        <w:pStyle w:val="TextBody"/>
        <w:bidi w:val="0"/>
        <w:spacing w:lineRule="auto" w:line="268"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This financial guidance does not include any impact from potential acquisitions or large business development transactions or pending and future litigation, as all are hard to predict, or any impact of potential tax or healthcare reform. Biogen may incur charges, realize gains or losses, or experience other events or circumstances in 2024 that could cause any of these assumptions to change and/or actual results to vary from this financial guidance.</w:t>
      </w:r>
    </w:p>
    <w:p>
      <w:pPr>
        <w:pStyle w:val="TextBody"/>
        <w:bidi w:val="0"/>
        <w:spacing w:before="0" w:after="0"/>
        <w:jc w:val="left"/>
        <w:rPr/>
      </w:pPr>
      <w:r>
        <w:rPr/>
      </w:r>
    </w:p>
    <w:p>
      <w:pPr>
        <w:pStyle w:val="TextBody"/>
        <w:bidi w:val="0"/>
        <w:spacing w:lineRule="auto" w:line="268"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Biogen does not provide guidance for GAAP reported financial measures (other than revenue) or a reconciliation of forward-looking Non-GAAP financial measures to the most directly comparable GAAP reported financial measures because the Company is unable to predict with reasonable certainty the financial impact of items such as the transaction, integration, and certain other costs related to acquisitions or large business development transactions; unusual gains and losses; potential future asset impairments; gains and losses from our equity security investments; and the ultimate outcome of pending or future significant litigation without unreasonable effort. These items are uncertain, depend on various factors, and could have a material impact on GAAP reported results for the guidance period. For the same reasons, the Company is unable to address the significance of the unavailable information, which could be material to future results.</w:t>
      </w:r>
    </w:p>
    <w:p>
      <w:pPr>
        <w:pStyle w:val="TextBody"/>
        <w:bidi w:val="0"/>
        <w:spacing w:before="0" w:after="0"/>
        <w:jc w:val="left"/>
        <w:rPr/>
      </w:pPr>
      <w:r>
        <w:rPr/>
      </w:r>
    </w:p>
    <w:p>
      <w:pPr>
        <w:pStyle w:val="TextBody"/>
        <w:bidi w:val="0"/>
        <w:spacing w:lineRule="auto" w:line="268" w:before="0" w:after="0"/>
        <w:ind w:left="0" w:right="0" w:hanging="360"/>
        <w:jc w:val="left"/>
        <w:rPr>
          <w:rFonts w:ascii="Franklin Gothic Book;sans-serif" w:hAnsi="Franklin Gothic Book;sans-serif"/>
          <w:b/>
          <w:color w:val="000000"/>
          <w:sz w:val="22"/>
        </w:rPr>
      </w:pPr>
      <w:r>
        <w:rPr>
          <w:rFonts w:ascii="Franklin Gothic Book;sans-serif" w:hAnsi="Franklin Gothic Book;sans-serif"/>
          <w:b/>
          <w:color w:val="000000"/>
          <w:sz w:val="22"/>
        </w:rPr>
        <w:t xml:space="preserve">Conference Call and Webcast </w:t>
      </w:r>
    </w:p>
    <w:p>
      <w:pPr>
        <w:pStyle w:val="TextBody"/>
        <w:bidi w:val="0"/>
        <w:spacing w:before="0" w:after="0"/>
        <w:jc w:val="left"/>
        <w:rPr/>
      </w:pPr>
      <w:r>
        <w:rPr/>
      </w:r>
    </w:p>
    <w:p>
      <w:pPr>
        <w:pStyle w:val="TextBody"/>
        <w:bidi w:val="0"/>
        <w:spacing w:lineRule="auto" w:line="276"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The Company’s earnings conference call for the first quarter will be broadcast via the internet at 8:30 a.m. ET on April 24, 2024 and will be accessible through the Investors section of Biogen’s website, www.biogen.com. Supplemental information in the form of a slide presentation is also accessible at the same location on the internet and will be subsequently available on the website for at least 90 days.</w:t>
      </w:r>
    </w:p>
    <w:p>
      <w:pPr>
        <w:pStyle w:val="TextBody"/>
        <w:bidi w:val="0"/>
        <w:spacing w:lineRule="auto" w:line="276" w:before="180" w:after="283"/>
        <w:jc w:val="left"/>
        <w:rPr>
          <w:rFonts w:ascii="Franklin Gothic Book;sans-serif" w:hAnsi="Franklin Gothic Book;sans-serif"/>
          <w:b/>
          <w:color w:val="000000"/>
          <w:sz w:val="22"/>
        </w:rPr>
      </w:pPr>
      <w:r>
        <w:rPr>
          <w:rFonts w:ascii="Franklin Gothic Book;sans-serif" w:hAnsi="Franklin Gothic Book;sans-serif"/>
          <w:b/>
          <w:color w:val="000000"/>
          <w:sz w:val="22"/>
        </w:rPr>
        <w:t>About Biogen</w:t>
      </w:r>
    </w:p>
    <w:p>
      <w:pPr>
        <w:pStyle w:val="TextBody"/>
        <w:bidi w:val="0"/>
        <w:spacing w:before="0" w:after="0"/>
        <w:jc w:val="left"/>
        <w:rPr/>
      </w:pPr>
      <w:r>
        <w:rPr/>
      </w:r>
    </w:p>
    <w:p>
      <w:pPr>
        <w:pStyle w:val="TextBody"/>
        <w:bidi w:val="0"/>
        <w:spacing w:lineRule="auto" w:line="268"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Founded in 1978, Biogen is a leading biotechnology company that pioneers innovative science to deliver new medicines to transform patient’s lives and to create value for shareholders and our communities.</w:t>
      </w:r>
    </w:p>
    <w:p>
      <w:pPr>
        <w:pStyle w:val="TextBody"/>
        <w:bidi w:val="0"/>
        <w:spacing w:lineRule="auto" w:line="268"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We apply deep understanding of human biology and leverage different modalities to advance first-in-class treatments or therapies that deliver superior outcomes. Our approach is to take bold risks, balanced with return on investment to deliver long-term growth. </w:t>
      </w:r>
    </w:p>
    <w:p>
      <w:pPr>
        <w:pStyle w:val="TextBody"/>
        <w:bidi w:val="0"/>
        <w:spacing w:before="0" w:after="0"/>
        <w:jc w:val="left"/>
        <w:rPr/>
      </w:pPr>
      <w:r>
        <w:rPr/>
      </w:r>
    </w:p>
    <w:p>
      <w:pPr>
        <w:pStyle w:val="TextBody"/>
        <w:bidi w:val="0"/>
        <w:spacing w:lineRule="auto" w:line="268"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We routinely post information that may be important to investors on our website at </w:t>
      </w:r>
    </w:p>
    <w:p>
      <w:pPr>
        <w:pStyle w:val="TextBody"/>
        <w:bidi w:val="0"/>
        <w:spacing w:lineRule="auto" w:line="268"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www.biogen.com. Follow us on social media - Facebook, LinkedIn, X, YouTube.</w:t>
      </w:r>
    </w:p>
    <w:p>
      <w:pPr>
        <w:pStyle w:val="TextBody"/>
        <w:bidi w:val="0"/>
        <w:spacing w:before="0" w:after="0"/>
        <w:jc w:val="left"/>
        <w:rPr/>
      </w:pPr>
      <w:r>
        <w:rPr/>
      </w:r>
    </w:p>
    <w:p>
      <w:pPr>
        <w:pStyle w:val="TextBody"/>
        <w:bidi w:val="0"/>
        <w:spacing w:lineRule="auto" w:line="288" w:before="0" w:after="0"/>
        <w:jc w:val="left"/>
        <w:rPr>
          <w:rFonts w:ascii="Franklin Gothic Book;sans-serif" w:hAnsi="Franklin Gothic Book;sans-serif"/>
          <w:b/>
          <w:color w:val="000000"/>
          <w:sz w:val="22"/>
        </w:rPr>
      </w:pPr>
      <w:r>
        <w:rPr>
          <w:rFonts w:ascii="Franklin Gothic Book;sans-serif" w:hAnsi="Franklin Gothic Book;sans-serif"/>
          <w:b/>
          <w:color w:val="000000"/>
          <w:sz w:val="22"/>
        </w:rPr>
        <w:t xml:space="preserve">Biogen Safe Harbor </w:t>
      </w:r>
    </w:p>
    <w:p>
      <w:pPr>
        <w:pStyle w:val="TextBody"/>
        <w:bidi w:val="0"/>
        <w:spacing w:before="0" w:after="0"/>
        <w:jc w:val="left"/>
        <w:rPr/>
      </w:pPr>
      <w:r>
        <w:rPr/>
      </w:r>
    </w:p>
    <w:p>
      <w:pPr>
        <w:pStyle w:val="TextBody"/>
        <w:bidi w:val="0"/>
        <w:spacing w:lineRule="auto" w:line="268"/>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This press release contains forward-looking statements, relating to: our strategy and plans; potential of, and expectations for, our commercial business and pipeline programs; capital allocation and investment strategy; clinical development programs, clinical trials, and data readouts and presentations; regulatory discussions, submissions, filings, and approvals; the potential benefits, safety, and efficacy of our and our collaboration partners’ products and investigational therapies; the anticipated benefits and potential of investments, optimization of the cost structure including our "Fit for Growth" program, actions to improve risk profile and productivity of R&amp;D pipeline, collaborations, and business development activities; our future financial and operating results; 2024 financial guidance. These forward-looking statements may be accompanied by such words as “aim,” “anticipate,” “believe,” “could,” “estimate,” “expect,”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7955"/>
                <wp:effectExtent l="0" t="0" r="0" b="0"/>
                <wp:wrapNone/>
                <wp:docPr id="8"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4</w:t>
                      </w:r>
                    </w:p>
                  </w:txbxContent>
                </v:textbox>
                <w10:wrap type="none"/>
              </v:rect>
            </w:pict>
          </mc:Fallback>
        </mc:AlternateContent>
      </w:r>
    </w:p>
    <w:p>
      <w:pPr>
        <w:pStyle w:val="TextBody"/>
        <w:bidi w:val="0"/>
        <w:spacing w:lineRule="auto" w:line="268" w:before="0" w:after="0"/>
        <w:jc w:val="left"/>
        <w:rPr>
          <w:color w:val="000000"/>
        </w:rPr>
      </w:pPr>
      <w:r>
        <w:rPr>
          <w:color w:val="000000"/>
        </w:rPr>
        <w:t>“</w:t>
      </w:r>
      <w:r>
        <w:rPr>
          <w:rFonts w:ascii="Franklin Gothic Book;sans-serif" w:hAnsi="Franklin Gothic Book;sans-serif"/>
          <w:b w:val="false"/>
          <w:color w:val="000000"/>
          <w:sz w:val="22"/>
        </w:rPr>
        <w:t>forecast,” “goal,” “intend,” “may,” “plan,” “potential,” “possible,” “prospect,” “will,” “would,” and other words and terms of similar meaning. Drug development and commercialization involve a high degree of risk, and only a small number of research and development programs result in commercialization of a product. Results in early-stage clinical trials may not be indicative of full results or results from later stage or larger scale clinical trials and do not ensure regulatory approval. You should not place undue reliance on these statements.</w:t>
      </w:r>
    </w:p>
    <w:p>
      <w:pPr>
        <w:pStyle w:val="TextBody"/>
        <w:bidi w:val="0"/>
        <w:spacing w:before="0" w:after="0"/>
        <w:jc w:val="left"/>
        <w:rPr/>
      </w:pPr>
      <w:r>
        <w:rPr/>
      </w:r>
    </w:p>
    <w:p>
      <w:pPr>
        <w:pStyle w:val="TextBody"/>
        <w:bidi w:val="0"/>
        <w:spacing w:lineRule="auto" w:line="268"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These statements involve risks and uncertainties that could cause actual results to differ materially from those reflected in such statements, including: our dependence on sales from our products; uncertainty of long-term success in developing, licensing, or acquiring other product candidates or additional indications for existing products; failure to compete effectively; failure to successfully execute or realize the anticipated benefits of our strategic and growth initiatives; difficulties in obtaining and maintaining adequate coverage, pricing, and reimbursement for our products; our dependence on collaborators and other third parties for the development, regulatory approval, and commercialization of products and other aspects of our business, which are outside of our full control; risks associated with current and potential future healthcare reforms; risks related to commercialization of biosimilars; failure to obtain, protect, and enforce our data, intellectual property, and other proprietary rights and the risks and uncertainties relating to intellectual property claims and challenges; the risk that positive results in a clinical trial may not be replicated in subsequent or confirmatory trials or success in early stage clinical trials may not be predictive of results in later stage or large scale clinical trials or trials in other potential indications; risks associated with clinical trials, including our ability to adequately manage clinical activities, unexpected concerns that may arise from additional data or analysis obtained during clinical trials, regulatory authorities may require additional information or further studies, or may fail to approve or may delay approval of our drug candidates; the occurrence of adverse safety events, restrictions on use with our products, or product liability claims; risks relating to technology failures or breaches; problems with our manufacturing processes; risks relating to management, personnel and other organizational changes, including attracting and retaining personnel; failure to comply with legal and regulatory requirements; the risks of doing business internationally, including currency exchange rate fluctuations; risks relating to investment in our manufacturing capacity; risks relating to the distribution and sale by third parties of counterfeit or unfit versions of our products; risks relating to the use of social media and artificial intelligence based software for our business; results of operations, and financial condition; fluctuations in our operating results; risks related to investment in properties; risks relating to access to capital and credit markets; risks related to indebtedness; the market, interest, and credit risks associated with our investment portfolio; risks relating to share repurchase programs; change in control provisions in certain of our collaboration agreements; fluctuations in our effective tax rate; environmental risks; and any other risks and uncertainties that are described in other reports we have filed with the U.S. Securities and Exchange Commission.</w:t>
      </w:r>
    </w:p>
    <w:p>
      <w:pPr>
        <w:pStyle w:val="TextBody"/>
        <w:bidi w:val="0"/>
        <w:spacing w:before="0" w:after="0"/>
        <w:jc w:val="left"/>
        <w:rPr/>
      </w:pPr>
      <w:r>
        <w:rPr/>
      </w:r>
    </w:p>
    <w:p>
      <w:pPr>
        <w:pStyle w:val="TextBody"/>
        <w:bidi w:val="0"/>
        <w:spacing w:lineRule="auto" w:line="268"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These statements speak only as of the date of this press release. We do not undertake any obligation to publicly update any forward-looking statements.</w:t>
      </w:r>
    </w:p>
    <w:p>
      <w:pPr>
        <w:pStyle w:val="TextBody"/>
        <w:bidi w:val="0"/>
        <w:spacing w:before="120" w:after="283"/>
        <w:jc w:val="left"/>
        <w:rPr/>
      </w:pPr>
      <w:r>
        <w:rPr/>
      </w:r>
    </w:p>
    <w:p>
      <w:pPr>
        <w:pStyle w:val="TextBody"/>
        <w:bidi w:val="0"/>
        <w:spacing w:lineRule="auto" w:line="276" w:before="120" w:after="283"/>
        <w:jc w:val="center"/>
        <w:rPr>
          <w:rFonts w:ascii="Franklin Gothic Book;sans-serif" w:hAnsi="Franklin Gothic Book;sans-serif"/>
          <w:b w:val="false"/>
          <w:color w:val="000000"/>
          <w:sz w:val="22"/>
        </w:rPr>
      </w:pPr>
      <w:r>
        <w:rPr>
          <w:rFonts w:ascii="Franklin Gothic Book;sans-serif" w:hAnsi="Franklin Gothic Book;sans-serif"/>
          <w:b w:val="false"/>
          <w:color w:val="000000"/>
          <w:sz w:val="22"/>
        </w:rPr>
        <w:t>###</w:t>
      </w:r>
    </w:p>
    <w:p>
      <w:pPr>
        <w:pStyle w:val="TextBody"/>
        <w:bidi w:val="0"/>
        <w:spacing w:before="120" w:after="283"/>
        <w:jc w:val="left"/>
        <w:rPr/>
      </w:pPr>
      <w:r>
        <w:rPr/>
      </w:r>
    </w:p>
    <w:tbl>
      <w:tblPr>
        <w:tblW w:w="5956" w:type="dxa"/>
        <w:jc w:val="left"/>
        <w:tblInd w:w="0" w:type="dxa"/>
        <w:tblLayout w:type="fixed"/>
        <w:tblCellMar>
          <w:top w:w="28" w:type="dxa"/>
          <w:left w:w="28" w:type="dxa"/>
          <w:bottom w:w="28" w:type="dxa"/>
          <w:right w:w="28" w:type="dxa"/>
        </w:tblCellMar>
      </w:tblPr>
      <w:tblGrid>
        <w:gridCol w:w="1134"/>
        <w:gridCol w:w="999"/>
        <w:gridCol w:w="1003"/>
        <w:gridCol w:w="825"/>
        <w:gridCol w:w="825"/>
        <w:gridCol w:w="1170"/>
      </w:tblGrid>
      <w:tr>
        <w:trPr/>
        <w:tc>
          <w:tcPr>
            <w:tcW w:w="113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313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ranklin Gothic Book;sans-serif" w:hAnsi="Franklin Gothic Book;sans-serif"/>
                <w:b/>
                <w:color w:val="0070C0"/>
                <w:sz w:val="22"/>
              </w:rPr>
            </w:pPr>
            <w:r>
              <w:rPr>
                <w:rFonts w:ascii="Franklin Gothic Book;sans-serif" w:hAnsi="Franklin Gothic Book;sans-serif"/>
                <w:b/>
                <w:color w:val="0070C0"/>
                <w:sz w:val="22"/>
              </w:rPr>
              <w:t>MEDIA CONTACT:</w:t>
            </w:r>
          </w:p>
        </w:tc>
        <w:tc>
          <w:tcPr>
            <w:tcW w:w="2820" w:type="dxa"/>
            <w:gridSpan w:val="3"/>
            <w:tcBorders/>
            <w:tcMar>
              <w:top w:w="0" w:type="dxa"/>
              <w:left w:w="0" w:type="dxa"/>
              <w:bottom w:w="0" w:type="dxa"/>
              <w:right w:w="0" w:type="dxa"/>
            </w:tcMar>
            <w:vAlign w:val="center"/>
          </w:tcPr>
          <w:p>
            <w:pPr>
              <w:pStyle w:val="TableContents"/>
              <w:bidi w:val="0"/>
              <w:spacing w:lineRule="auto" w:line="276" w:before="120" w:after="283"/>
              <w:jc w:val="left"/>
              <w:rPr>
                <w:rFonts w:ascii="Franklin Gothic Book;sans-serif" w:hAnsi="Franklin Gothic Book;sans-serif"/>
                <w:b/>
                <w:color w:val="0070C0"/>
                <w:sz w:val="22"/>
              </w:rPr>
            </w:pPr>
            <w:r>
              <w:rPr>
                <w:rFonts w:ascii="Franklin Gothic Book;sans-serif" w:hAnsi="Franklin Gothic Book;sans-serif"/>
                <w:b/>
                <w:color w:val="0070C0"/>
                <w:sz w:val="22"/>
              </w:rPr>
              <w:t>INVESTOR CONTACT:</w:t>
            </w:r>
          </w:p>
        </w:tc>
      </w:tr>
      <w:tr>
        <w:trPr/>
        <w:tc>
          <w:tcPr>
            <w:tcW w:w="313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ranklin Gothic Book;sans-serif" w:hAnsi="Franklin Gothic Book;sans-serif"/>
                <w:b/>
                <w:color w:val="000000"/>
                <w:sz w:val="22"/>
              </w:rPr>
            </w:pPr>
            <w:r>
              <w:rPr>
                <w:rFonts w:ascii="Franklin Gothic Book;sans-serif" w:hAnsi="Franklin Gothic Book;sans-serif"/>
                <w:b/>
                <w:color w:val="000000"/>
                <w:sz w:val="22"/>
              </w:rPr>
              <w:t>Biogen</w:t>
            </w:r>
          </w:p>
        </w:tc>
        <w:tc>
          <w:tcPr>
            <w:tcW w:w="282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ranklin Gothic Book;sans-serif" w:hAnsi="Franklin Gothic Book;sans-serif"/>
                <w:b/>
                <w:color w:val="000000"/>
                <w:sz w:val="22"/>
              </w:rPr>
            </w:pPr>
            <w:r>
              <w:rPr>
                <w:rFonts w:ascii="Franklin Gothic Book;sans-serif" w:hAnsi="Franklin Gothic Book;sans-serif"/>
                <w:b/>
                <w:color w:val="000000"/>
                <w:sz w:val="22"/>
              </w:rPr>
              <w:t>Biogen</w:t>
            </w:r>
          </w:p>
        </w:tc>
      </w:tr>
      <w:tr>
        <w:trPr/>
        <w:tc>
          <w:tcPr>
            <w:tcW w:w="313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Jack Cox</w:t>
            </w:r>
          </w:p>
        </w:tc>
        <w:tc>
          <w:tcPr>
            <w:tcW w:w="282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Chuck Triano</w:t>
            </w:r>
          </w:p>
        </w:tc>
      </w:tr>
      <w:tr>
        <w:trPr/>
        <w:tc>
          <w:tcPr>
            <w:tcW w:w="31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Tel: +1 781-464-3260</w:t>
            </w:r>
          </w:p>
        </w:tc>
        <w:tc>
          <w:tcPr>
            <w:tcW w:w="28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Tel: +1 781-464-2442 </w:t>
            </w:r>
          </w:p>
        </w:tc>
      </w:tr>
      <w:tr>
        <w:trPr/>
        <w:tc>
          <w:tcPr>
            <w:tcW w:w="31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public.affairs@biogen.com</w:t>
            </w:r>
          </w:p>
        </w:tc>
        <w:tc>
          <w:tcPr>
            <w:tcW w:w="28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IR@biogen.com</w:t>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7955"/>
                <wp:effectExtent l="0" t="0" r="0" b="0"/>
                <wp:wrapNone/>
                <wp:docPr id="9"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5</w:t>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TABLE 1</w:t>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BIOGEN INC. AND SUBSIDIARIES</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CONDENSED CONSOLIDATED STATEMENT OF INCOME</w:t>
      </w:r>
    </w:p>
    <w:p>
      <w:pPr>
        <w:pStyle w:val="TextBody"/>
        <w:bidi w:val="0"/>
        <w:spacing w:lineRule="auto" w:line="288" w:before="0" w:after="0"/>
        <w:jc w:val="center"/>
        <w:rPr>
          <w:rFonts w:ascii="Franklin Gothic Book;sans-serif" w:hAnsi="Franklin Gothic Book;sans-serif"/>
          <w:b/>
          <w:i/>
          <w:color w:val="1C5A7D"/>
          <w:sz w:val="20"/>
        </w:rPr>
      </w:pPr>
      <w:r>
        <w:rPr>
          <w:rFonts w:ascii="Franklin Gothic Book;sans-serif" w:hAnsi="Franklin Gothic Book;sans-serif"/>
          <w:b/>
          <w:i/>
          <w:color w:val="1C5A7D"/>
          <w:sz w:val="20"/>
        </w:rPr>
        <w:t>(unaudited, in millions, except per share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204"/>
        <w:gridCol w:w="1775"/>
        <w:gridCol w:w="1757"/>
        <w:gridCol w:w="109"/>
        <w:gridCol w:w="109"/>
        <w:gridCol w:w="109"/>
        <w:gridCol w:w="298"/>
        <w:gridCol w:w="1171"/>
        <w:gridCol w:w="143"/>
        <w:gridCol w:w="143"/>
        <w:gridCol w:w="143"/>
        <w:gridCol w:w="143"/>
        <w:gridCol w:w="298"/>
        <w:gridCol w:w="1171"/>
        <w:gridCol w:w="143"/>
        <w:gridCol w:w="109"/>
        <w:gridCol w:w="109"/>
        <w:gridCol w:w="109"/>
        <w:gridCol w:w="162"/>
      </w:tblGrid>
      <w:tr>
        <w:trPr/>
        <w:tc>
          <w:tcPr>
            <w:tcW w:w="2204"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5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3BA"/>
                <w:sz w:val="18"/>
              </w:rPr>
            </w:pPr>
            <w:r>
              <w:rPr>
                <w:rFonts w:ascii="Franklin Gothic Book;sans-serif" w:hAnsi="Franklin Gothic Book;sans-serif"/>
                <w:b/>
                <w:color w:val="2573BA"/>
                <w:sz w:val="18"/>
              </w:rPr>
              <w:t>2024</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Product,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11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1,711.9 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17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1,763.3 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from anti-CD20 therapeutic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394.0 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399.5 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Contract manufacturing, royalty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184.6 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300.2 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2,290.5 </w:t>
            </w:r>
          </w:p>
        </w:tc>
        <w:tc>
          <w:tcPr>
            <w:tcW w:w="14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2,463.0 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Cost and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Cost of sales, excluding amortization and impairment of acquired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542.2 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662.8 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452.9 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570.6 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581.5 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605.0 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Amortization and impairment of acquired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78.3 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50.2 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Collaboration profit sharing/(loss reimbursement)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65.6 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57.1 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Restructuring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11.5 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9.6 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Other (income)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93.7 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69.4 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cost and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1,825.7 </w:t>
            </w:r>
          </w:p>
        </w:tc>
        <w:tc>
          <w:tcPr>
            <w:tcW w:w="14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2,024.7 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Income before income tax expense and equity in loss of investee,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464.8 </w:t>
            </w:r>
          </w:p>
        </w:tc>
        <w:tc>
          <w:tcPr>
            <w:tcW w:w="14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438.3 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Income tax (benefit)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71.4 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50.7 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393.4 </w:t>
            </w:r>
          </w:p>
        </w:tc>
        <w:tc>
          <w:tcPr>
            <w:tcW w:w="14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387.6 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Net income (loss) attributable to noncontrolling interests,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3BA"/>
              </w:rPr>
            </w:pPr>
            <w:r>
              <w:rPr>
                <w:color w:val="2573BA"/>
              </w:rPr>
              <w:t>—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(0.3)</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Net income attributable to Biogen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8"/>
              </w:rPr>
            </w:pPr>
            <w:r>
              <w:rPr>
                <w:rFonts w:ascii="Franklin Gothic Book;sans-serif" w:hAnsi="Franklin Gothic Book;sans-serif"/>
                <w:b w:val="false"/>
                <w:color w:val="2573BA"/>
                <w:sz w:val="18"/>
              </w:rPr>
              <w:t>$</w:t>
            </w:r>
          </w:p>
        </w:tc>
        <w:tc>
          <w:tcPr>
            <w:tcW w:w="11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393.4 </w:t>
            </w:r>
          </w:p>
        </w:tc>
        <w:tc>
          <w:tcPr>
            <w:tcW w:w="14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1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387.9 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Net income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Basic earnings per share attributable to Biogen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8"/>
              </w:rPr>
            </w:pPr>
            <w:r>
              <w:rPr>
                <w:rFonts w:ascii="Franklin Gothic Book;sans-serif" w:hAnsi="Franklin Gothic Book;sans-serif"/>
                <w:b w:val="false"/>
                <w:color w:val="2573BA"/>
                <w:sz w:val="18"/>
              </w:rPr>
              <w:t>$</w:t>
            </w:r>
          </w:p>
        </w:tc>
        <w:tc>
          <w:tcPr>
            <w:tcW w:w="11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2.71 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17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2.69 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Diluted earnings per share attributable to Biogen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8"/>
              </w:rPr>
            </w:pPr>
            <w:r>
              <w:rPr>
                <w:rFonts w:ascii="Franklin Gothic Book;sans-serif" w:hAnsi="Franklin Gothic Book;sans-serif"/>
                <w:b w:val="false"/>
                <w:color w:val="2573BA"/>
                <w:sz w:val="18"/>
              </w:rPr>
              <w:t>$</w:t>
            </w:r>
          </w:p>
        </w:tc>
        <w:tc>
          <w:tcPr>
            <w:tcW w:w="11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2.70 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17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2.67 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Weighted-average shares used in calculating: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Basic earnings share attributable to Biogen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145.2 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144.4 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Diluted earnings per share attributable to Biogen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145.9 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145.2 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7955"/>
                <wp:effectExtent l="0" t="0" r="0" b="0"/>
                <wp:wrapNone/>
                <wp:docPr id="10"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6</w:t>
                      </w:r>
                    </w:p>
                  </w:txbxContent>
                </v:textbox>
                <w10:wrap type="none"/>
              </v:rect>
            </w:pict>
          </mc:Fallback>
        </mc:AlternateConten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TABLE 2</w:t>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BIOGEN INC. AND SUBSIDIARIES</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CONDENSED CONSOLIDATED BALANCE SHEETS</w:t>
      </w:r>
    </w:p>
    <w:p>
      <w:pPr>
        <w:pStyle w:val="TextBody"/>
        <w:bidi w:val="0"/>
        <w:spacing w:lineRule="auto" w:line="288" w:before="0" w:after="0"/>
        <w:jc w:val="center"/>
        <w:rPr>
          <w:rFonts w:ascii="Franklin Gothic Book;sans-serif" w:hAnsi="Franklin Gothic Book;sans-serif"/>
          <w:b/>
          <w:i/>
          <w:color w:val="1C5A7D"/>
          <w:sz w:val="20"/>
        </w:rPr>
      </w:pPr>
      <w:r>
        <w:rPr>
          <w:rFonts w:ascii="Franklin Gothic Book;sans-serif" w:hAnsi="Franklin Gothic Book;sans-serif"/>
          <w:b/>
          <w:i/>
          <w:color w:val="1C5A7D"/>
          <w:sz w:val="20"/>
        </w:rPr>
        <w:t>(unaudited, in millions)</w:t>
      </w:r>
    </w:p>
    <w:p>
      <w:pPr>
        <w:pStyle w:val="TextBody"/>
        <w:bidi w:val="0"/>
        <w:spacing w:before="0" w:after="0"/>
        <w:jc w:val="center"/>
        <w:rPr/>
      </w:pPr>
      <w:r>
        <w:rPr/>
      </w:r>
    </w:p>
    <w:tbl>
      <w:tblPr>
        <w:tblW w:w="9893" w:type="dxa"/>
        <w:jc w:val="center"/>
        <w:tblInd w:w="0" w:type="dxa"/>
        <w:tblLayout w:type="fixed"/>
        <w:tblCellMar>
          <w:top w:w="28" w:type="dxa"/>
          <w:left w:w="28" w:type="dxa"/>
          <w:bottom w:w="28" w:type="dxa"/>
          <w:right w:w="28" w:type="dxa"/>
        </w:tblCellMar>
      </w:tblPr>
      <w:tblGrid>
        <w:gridCol w:w="1583"/>
        <w:gridCol w:w="1395"/>
        <w:gridCol w:w="1402"/>
        <w:gridCol w:w="109"/>
        <w:gridCol w:w="109"/>
        <w:gridCol w:w="109"/>
        <w:gridCol w:w="371"/>
        <w:gridCol w:w="1654"/>
        <w:gridCol w:w="179"/>
        <w:gridCol w:w="109"/>
        <w:gridCol w:w="109"/>
        <w:gridCol w:w="109"/>
        <w:gridCol w:w="433"/>
        <w:gridCol w:w="1927"/>
        <w:gridCol w:w="295"/>
      </w:tblGrid>
      <w:tr>
        <w:trPr/>
        <w:tc>
          <w:tcPr>
            <w:tcW w:w="1583"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3BA"/>
                <w:sz w:val="18"/>
              </w:rPr>
            </w:pPr>
            <w:r>
              <w:rPr>
                <w:rFonts w:ascii="Franklin Gothic Book;sans-serif" w:hAnsi="Franklin Gothic Book;sans-serif"/>
                <w:b/>
                <w:color w:val="2573BA"/>
                <w:sz w:val="18"/>
              </w:rPr>
              <w:t>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As of December 31, 2023</w:t>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2573BA"/>
                <w:sz w:val="18"/>
              </w:rPr>
            </w:pPr>
            <w:r>
              <w:rPr>
                <w:rFonts w:ascii="Franklin Gothic Book;sans-serif" w:hAnsi="Franklin Gothic Book;sans-serif"/>
                <w:b/>
                <w:color w:val="2573BA"/>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8"/>
              </w:rPr>
            </w:pPr>
            <w:r>
              <w:rPr>
                <w:rFonts w:ascii="Franklin Gothic Book;sans-serif" w:hAnsi="Franklin Gothic Book;sans-serif"/>
                <w:b w:val="false"/>
                <w:color w:val="2573BA"/>
                <w:sz w:val="18"/>
              </w:rPr>
              <w:t>$</w:t>
            </w:r>
          </w:p>
        </w:tc>
        <w:tc>
          <w:tcPr>
            <w:tcW w:w="165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1,074.4 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9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1,049.9 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Accounts receivable,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1,604.5 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1,664.1 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Due from anti-CD20 therapeutic programs,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395.2 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435.9 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Inventory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2,516.8 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2,527.4 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1,165.3 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1,182.0 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6,756.2 </w:t>
            </w:r>
          </w:p>
        </w:tc>
        <w:tc>
          <w:tcPr>
            <w:tcW w:w="17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6,859.3 </w:t>
            </w:r>
          </w:p>
        </w:tc>
        <w:tc>
          <w:tcPr>
            <w:tcW w:w="2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Property, plant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3,275.3 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3,309.7 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Operating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428.1 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420.0 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Intangible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8,284.7 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8,363.0 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6,227.4 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6,219.2 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Deferred tax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898.3 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928.6 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Investments and 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697.6 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745.0 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8"/>
              </w:rPr>
            </w:pPr>
            <w:r>
              <w:rPr>
                <w:rFonts w:ascii="Franklin Gothic Book;sans-serif" w:hAnsi="Franklin Gothic Book;sans-serif"/>
                <w:b w:val="false"/>
                <w:color w:val="2573BA"/>
                <w:sz w:val="18"/>
              </w:rPr>
              <w:t>$</w:t>
            </w:r>
          </w:p>
        </w:tc>
        <w:tc>
          <w:tcPr>
            <w:tcW w:w="165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26,567.6 </w:t>
            </w:r>
          </w:p>
        </w:tc>
        <w:tc>
          <w:tcPr>
            <w:tcW w:w="17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9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26,844.8 </w:t>
            </w:r>
          </w:p>
        </w:tc>
        <w:tc>
          <w:tcPr>
            <w:tcW w:w="2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2573BA"/>
                <w:sz w:val="18"/>
              </w:rPr>
            </w:pPr>
            <w:r>
              <w:rPr>
                <w:rFonts w:ascii="Franklin Gothic Book;sans-serif" w:hAnsi="Franklin Gothic Book;sans-serif"/>
                <w:b/>
                <w:color w:val="2573BA"/>
                <w:sz w:val="18"/>
              </w:rPr>
              <w:t>LIABILITIES AND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Current portion of term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8"/>
              </w:rPr>
            </w:pPr>
            <w:r>
              <w:rPr>
                <w:rFonts w:ascii="Franklin Gothic Book;sans-serif" w:hAnsi="Franklin Gothic Book;sans-serif"/>
                <w:b w:val="false"/>
                <w:color w:val="2573BA"/>
                <w:sz w:val="18"/>
              </w:rPr>
              <w:t>$</w:t>
            </w:r>
          </w:p>
        </w:tc>
        <w:tc>
          <w:tcPr>
            <w:tcW w:w="165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250.0 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9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150.0 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Taxes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231.2 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257.4 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Accounts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387.0 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403.3 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Accrued expenses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2,354.6 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2,623.6 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Franklin Gothic Book;sans-serif" w:hAnsi="Franklin Gothic Book;sans-serif"/>
                <w:b w:val="false"/>
                <w:color w:val="000000"/>
                <w:sz w:val="18"/>
              </w:rPr>
              <w:t>Total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3,222.8 </w:t>
            </w:r>
          </w:p>
        </w:tc>
        <w:tc>
          <w:tcPr>
            <w:tcW w:w="17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3,434.3 </w:t>
            </w:r>
          </w:p>
        </w:tc>
        <w:tc>
          <w:tcPr>
            <w:tcW w:w="2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Notes payable and term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6,290.1 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6,788.2 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Deferred tax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658.1 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641.8 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Long-term 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406.5 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400.0 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Other long-term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777.1 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781.1 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15,213.0 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14,799.4 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LIABILITIES AND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3BA"/>
                <w:sz w:val="18"/>
              </w:rPr>
            </w:pPr>
            <w:r>
              <w:rPr>
                <w:rFonts w:ascii="Franklin Gothic Book;sans-serif" w:hAnsi="Franklin Gothic Book;sans-serif"/>
                <w:b w:val="false"/>
                <w:color w:val="2573BA"/>
                <w:sz w:val="18"/>
              </w:rPr>
              <w:t>$</w:t>
            </w:r>
          </w:p>
        </w:tc>
        <w:tc>
          <w:tcPr>
            <w:tcW w:w="16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3BA"/>
                <w:sz w:val="18"/>
              </w:rPr>
            </w:pPr>
            <w:r>
              <w:rPr>
                <w:rFonts w:ascii="Franklin Gothic Book;sans-serif" w:hAnsi="Franklin Gothic Book;sans-serif"/>
                <w:b w:val="false"/>
                <w:color w:val="2573BA"/>
                <w:sz w:val="18"/>
              </w:rPr>
              <w:t>26,567.6 </w:t>
            </w:r>
          </w:p>
        </w:tc>
        <w:tc>
          <w:tcPr>
            <w:tcW w:w="17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9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26,844.8 </w:t>
            </w:r>
          </w:p>
        </w:tc>
        <w:tc>
          <w:tcPr>
            <w:tcW w:w="2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7955"/>
                <wp:effectExtent l="0" t="0" r="0" b="0"/>
                <wp:wrapNone/>
                <wp:docPr id="11"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7</w:t>
                      </w:r>
                    </w:p>
                  </w:txbxContent>
                </v:textbox>
                <w10:wrap type="none"/>
              </v:rect>
            </w:pict>
          </mc:Fallback>
        </mc:AlternateConten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TABLE 3</w:t>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BIOGEN INC. AND SUBSIDIARIES</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PRODUCT REVENUE &amp; TOTAL REVENUE</w:t>
      </w:r>
    </w:p>
    <w:p>
      <w:pPr>
        <w:pStyle w:val="TextBody"/>
        <w:bidi w:val="0"/>
        <w:spacing w:lineRule="auto" w:line="288" w:before="0" w:after="120"/>
        <w:jc w:val="center"/>
        <w:rPr>
          <w:rFonts w:ascii="Franklin Gothic Book;sans-serif" w:hAnsi="Franklin Gothic Book;sans-serif"/>
          <w:b/>
          <w:i/>
          <w:color w:val="1C5A7D"/>
          <w:sz w:val="20"/>
        </w:rPr>
      </w:pPr>
      <w:r>
        <w:rPr>
          <w:rFonts w:ascii="Franklin Gothic Book;sans-serif" w:hAnsi="Franklin Gothic Book;sans-serif"/>
          <w:b/>
          <w:i/>
          <w:color w:val="1C5A7D"/>
          <w:sz w:val="20"/>
        </w:rPr>
        <w:t>(unaudited, in millions)</w:t>
      </w:r>
    </w:p>
    <w:p>
      <w:pPr>
        <w:pStyle w:val="TextBody"/>
        <w:bidi w:val="0"/>
        <w:spacing w:lineRule="auto" w:line="288" w:before="0" w:after="0"/>
        <w:jc w:val="left"/>
        <w:rPr>
          <w:rFonts w:ascii="Franklin Gothic Book;sans-serif" w:hAnsi="Franklin Gothic Book;sans-serif"/>
          <w:b/>
          <w:color w:val="1C5A7D"/>
          <w:sz w:val="22"/>
        </w:rPr>
      </w:pPr>
      <w:r>
        <w:rPr>
          <w:rFonts w:ascii="Franklin Gothic Book;sans-serif" w:hAnsi="Franklin Gothic Book;sans-serif"/>
          <w:b/>
          <w:color w:val="1C5A7D"/>
          <w:sz w:val="22"/>
        </w:rPr>
        <w:t>Product Revenue</w:t>
      </w:r>
    </w:p>
    <w:tbl>
      <w:tblPr>
        <w:tblW w:w="10097" w:type="dxa"/>
        <w:jc w:val="left"/>
        <w:tblInd w:w="0" w:type="dxa"/>
        <w:tblLayout w:type="fixed"/>
        <w:tblCellMar>
          <w:top w:w="28" w:type="dxa"/>
          <w:left w:w="28" w:type="dxa"/>
          <w:bottom w:w="28" w:type="dxa"/>
          <w:right w:w="28" w:type="dxa"/>
        </w:tblCellMar>
      </w:tblPr>
      <w:tblGrid>
        <w:gridCol w:w="732"/>
        <w:gridCol w:w="644"/>
        <w:gridCol w:w="648"/>
        <w:gridCol w:w="109"/>
        <w:gridCol w:w="109"/>
        <w:gridCol w:w="109"/>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March 31,</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2023</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United</w:t>
              <w:br/>
              <w:t>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Rest of</w:t>
              <w:br/>
              <w:t>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United</w:t>
              <w:br/>
              <w:t>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Rest of</w:t>
              <w:br/>
              <w:t>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Multiple Sclerosis (MS):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TECFIDERA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210.6 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254.3 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274.5 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VUMERITY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105.9 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127.5 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Fumarate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149.6 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232.2 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381.8 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382.7 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AVONEX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111.2 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67.3 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178.5 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102.6 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172.4 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PLEGRIDY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36.5 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65.1 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Interferon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139.8 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103.8 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243.6 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245.6 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TYSABRI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213.8 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217.5 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431.3 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227.4 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472.8 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FAMPYRA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 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503.2 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572.7 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1,075.9 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546.1 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579.1 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1,125.2 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Rare Disease: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SPINRAZA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192.8 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341.3 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443.3 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QALSODY</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SKYCLARYS</w:t>
            </w:r>
            <w:r>
              <w:rPr>
                <w:rFonts w:ascii="Franklin Gothic Book;sans-serif" w:hAnsi="Franklin Gothic Book;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78.0 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 Rare Disease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225.9 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198.0 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423.9 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443.3 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Biosimilars: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BENEPALI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118.7 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118.7 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IMRALDI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54.8 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54.8 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FLIXABI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BYOOVIZ</w:t>
            </w:r>
            <w:r>
              <w:rPr>
                <w:rFonts w:ascii="Franklin Gothic Book;sans-serif" w:hAnsi="Franklin Gothic Book;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 Biosimilars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193.2 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196.9 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192.4 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Other</w:t>
            </w:r>
            <w:r>
              <w:rPr>
                <w:rFonts w:ascii="Franklin Gothic Book;sans-serif" w:hAnsi="Franklin Gothic Book;sans-serif"/>
                <w:b w:val="false"/>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13.3 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product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746.1 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965.8 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1,711.9 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701.4 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1,061.9 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1,763.3 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pPr>
      <w:r>
        <w:rPr>
          <w:rFonts w:ascii="Franklin Gothic Book;sans-serif" w:hAnsi="Franklin Gothic Book;sans-serif"/>
          <w:b w:val="false"/>
          <w:color w:val="000000"/>
          <w:sz w:val="10"/>
        </w:rPr>
        <w:t>(1)</w:t>
      </w:r>
      <w:r>
        <w:rPr>
          <w:color w:val="000000"/>
        </w:rPr>
        <w:t xml:space="preserve"> </w:t>
      </w:r>
      <w:r>
        <w:rPr>
          <w:rFonts w:ascii="Franklin Gothic Book;sans-serif" w:hAnsi="Franklin Gothic Book;sans-serif"/>
          <w:b w:val="false"/>
          <w:color w:val="000000"/>
          <w:sz w:val="16"/>
        </w:rPr>
        <w:t>QALSODY became commercially available in the U.S. during the second quarter of 2023.</w:t>
      </w:r>
    </w:p>
    <w:p>
      <w:pPr>
        <w:pStyle w:val="TextBody"/>
        <w:bidi w:val="0"/>
        <w:spacing w:lineRule="auto" w:line="288" w:before="20" w:after="283"/>
        <w:jc w:val="left"/>
        <w:rPr/>
      </w:pPr>
      <w:r>
        <w:rPr>
          <w:rFonts w:ascii="Franklin Gothic Book;sans-serif" w:hAnsi="Franklin Gothic Book;sans-serif"/>
          <w:b w:val="false"/>
          <w:color w:val="000000"/>
          <w:sz w:val="10"/>
        </w:rPr>
        <w:t>(2)</w:t>
      </w:r>
      <w:r>
        <w:rPr>
          <w:color w:val="000000"/>
        </w:rPr>
        <w:t xml:space="preserve"> </w:t>
      </w:r>
      <w:r>
        <w:rPr>
          <w:rFonts w:ascii="Franklin Gothic Book;sans-serif" w:hAnsi="Franklin Gothic Book;sans-serif"/>
          <w:b w:val="false"/>
          <w:color w:val="000000"/>
          <w:sz w:val="16"/>
        </w:rPr>
        <w:t>SKYCLARYS was obtained as part of our acquisition of Reata in September 2023. SKYCLARYS became commercially available in the U.S. during the second quarter of 2023 and we began recognizing revenue from SKYCLARYS in the U.S. during the fourth quarter of 2023, subsequent to our acquisition. SKYCLARYS was approved and became commercially available in the E.U. during the first quarter of 2024.</w:t>
      </w:r>
    </w:p>
    <w:p>
      <w:pPr>
        <w:pStyle w:val="TextBody"/>
        <w:bidi w:val="0"/>
        <w:spacing w:lineRule="auto" w:line="288" w:before="20" w:after="283"/>
        <w:jc w:val="left"/>
        <w:rPr/>
      </w:pPr>
      <w:r>
        <w:rPr>
          <w:rFonts w:ascii="Franklin Gothic Book;sans-serif" w:hAnsi="Franklin Gothic Book;sans-serif"/>
          <w:b w:val="false"/>
          <w:color w:val="000000"/>
          <w:sz w:val="10"/>
        </w:rPr>
        <w:t>(3)</w:t>
      </w:r>
      <w:r>
        <w:rPr>
          <w:color w:val="000000"/>
        </w:rPr>
        <w:t xml:space="preserve"> </w:t>
      </w:r>
      <w:r>
        <w:rPr>
          <w:rFonts w:ascii="Franklin Gothic Book;sans-serif" w:hAnsi="Franklin Gothic Book;sans-serif"/>
          <w:b w:val="false"/>
          <w:color w:val="000000"/>
          <w:sz w:val="16"/>
        </w:rPr>
        <w:t>BYOOVIZ became commercially available in certain international markets in 2023.</w:t>
      </w:r>
    </w:p>
    <w:p>
      <w:pPr>
        <w:pStyle w:val="TextBody"/>
        <w:bidi w:val="0"/>
        <w:spacing w:lineRule="auto" w:line="288" w:before="20" w:after="283"/>
        <w:jc w:val="left"/>
        <w:rPr/>
      </w:pPr>
      <w:r>
        <w:rPr>
          <w:rFonts w:ascii="Franklin Gothic Book;sans-serif" w:hAnsi="Franklin Gothic Book;sans-serif"/>
          <w:b w:val="false"/>
          <w:color w:val="000000"/>
          <w:sz w:val="10"/>
        </w:rPr>
        <w:t>(4)</w:t>
      </w:r>
      <w:r>
        <w:rPr>
          <w:color w:val="000000"/>
        </w:rPr>
        <w:t xml:space="preserve"> </w:t>
      </w:r>
      <w:r>
        <w:rPr>
          <w:rFonts w:ascii="Franklin Gothic Book;sans-serif" w:hAnsi="Franklin Gothic Book;sans-serif"/>
          <w:b w:val="false"/>
          <w:color w:val="000000"/>
          <w:sz w:val="16"/>
        </w:rPr>
        <w:t>Other includes FUMADERM, ADUHELM and ZURZUVAE, which became commercially available in the U.S. during the fourth quarter of 2023.</w:t>
      </w:r>
    </w:p>
    <w:p>
      <w:pPr>
        <w:pStyle w:val="TextBody"/>
        <w:bidi w:val="0"/>
        <w:spacing w:before="0" w:after="0"/>
        <w:jc w:val="left"/>
        <w:rPr/>
      </w:pPr>
      <w:r>
        <w:rPr/>
      </w:r>
    </w:p>
    <w:p>
      <w:pPr>
        <w:pStyle w:val="TextBody"/>
        <w:bidi w:val="0"/>
        <w:spacing w:lineRule="auto" w:line="288" w:before="0" w:after="0"/>
        <w:jc w:val="left"/>
        <w:rPr>
          <w:rFonts w:ascii="Franklin Gothic Book;sans-serif" w:hAnsi="Franklin Gothic Book;sans-serif"/>
          <w:b/>
          <w:color w:val="00587F"/>
          <w:sz w:val="22"/>
        </w:rPr>
      </w:pPr>
      <w:r>
        <w:rPr>
          <w:rFonts w:ascii="Franklin Gothic Book;sans-serif" w:hAnsi="Franklin Gothic Book;sans-serif"/>
          <w:b/>
          <w:color w:val="00587F"/>
          <w:sz w:val="22"/>
        </w:rPr>
        <w:t>Total Revenue</w:t>
      </w:r>
    </w:p>
    <w:tbl>
      <w:tblPr>
        <w:tblW w:w="8979" w:type="dxa"/>
        <w:jc w:val="left"/>
        <w:tblInd w:w="0" w:type="dxa"/>
        <w:tblLayout w:type="fixed"/>
        <w:tblCellMar>
          <w:top w:w="28" w:type="dxa"/>
          <w:left w:w="28" w:type="dxa"/>
          <w:bottom w:w="28" w:type="dxa"/>
          <w:right w:w="28" w:type="dxa"/>
        </w:tblCellMar>
      </w:tblPr>
      <w:tblGrid>
        <w:gridCol w:w="1596"/>
        <w:gridCol w:w="1404"/>
        <w:gridCol w:w="1409"/>
        <w:gridCol w:w="109"/>
        <w:gridCol w:w="109"/>
        <w:gridCol w:w="109"/>
        <w:gridCol w:w="317"/>
        <w:gridCol w:w="1154"/>
        <w:gridCol w:w="164"/>
        <w:gridCol w:w="164"/>
        <w:gridCol w:w="164"/>
        <w:gridCol w:w="164"/>
        <w:gridCol w:w="317"/>
        <w:gridCol w:w="1154"/>
        <w:gridCol w:w="164"/>
        <w:gridCol w:w="109"/>
        <w:gridCol w:w="109"/>
        <w:gridCol w:w="109"/>
        <w:gridCol w:w="154"/>
      </w:tblGrid>
      <w:tr>
        <w:trPr/>
        <w:tc>
          <w:tcPr>
            <w:tcW w:w="1596"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2573BA"/>
                <w:sz w:val="16"/>
              </w:rPr>
            </w:pPr>
            <w:r>
              <w:rPr>
                <w:rFonts w:ascii="Franklin Gothic Book;sans-serif" w:hAnsi="Franklin Gothic Book;sans-serif"/>
                <w:b/>
                <w:color w:val="2573BA"/>
                <w:sz w:val="16"/>
              </w:rPr>
              <w:t>2024</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Product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115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1,711.9 </w:t>
            </w:r>
          </w:p>
        </w:tc>
        <w:tc>
          <w:tcPr>
            <w:tcW w:w="1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1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1,763.3 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OCREVUS royalties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302.7 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283.6 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RITUXAN/GAZYVA</w:t>
            </w:r>
            <w:r>
              <w:rPr>
                <w:rFonts w:ascii="Franklin Gothic Book;sans-serif" w:hAnsi="Franklin Gothic Book;sans-serif"/>
                <w:b w:val="false"/>
                <w:color w:val="000000"/>
                <w:sz w:val="10"/>
              </w:rPr>
              <w:t>®</w:t>
            </w:r>
            <w:r>
              <w:rPr>
                <w:rFonts w:ascii="Franklin Gothic Book;sans-serif" w:hAnsi="Franklin Gothic Book;sans-serif"/>
                <w:b w:val="false"/>
                <w:color w:val="000000"/>
                <w:sz w:val="16"/>
              </w:rPr>
              <w:t>/LUNSUMIO™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87.1 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112.5 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revenues from anti-CD20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4.2 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3.4 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Contract manufacturing, royalty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184.6 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300.2 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1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2,290.5 </w:t>
            </w:r>
          </w:p>
        </w:tc>
        <w:tc>
          <w:tcPr>
            <w:tcW w:w="16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2,463.0 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4570" w:type="dxa"/>
            <w:gridSpan w:val="16"/>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7955"/>
                <wp:effectExtent l="0" t="0" r="0" b="0"/>
                <wp:wrapNone/>
                <wp:docPr id="12"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8</w:t>
                      </w:r>
                    </w:p>
                  </w:txbxContent>
                </v:textbox>
                <w10:wrap type="none"/>
              </v:rect>
            </w:pict>
          </mc:Fallback>
        </mc:AlternateContent>
      </w:r>
    </w:p>
    <w:p>
      <w:pPr>
        <w:pStyle w:val="TextBody"/>
        <w:bidi w:val="0"/>
        <w:spacing w:lineRule="auto" w:line="288" w:before="180" w:after="180"/>
        <w:jc w:val="center"/>
        <w:rPr>
          <w:rFonts w:ascii="Franklin Gothic Book;sans-serif" w:hAnsi="Franklin Gothic Book;sans-serif"/>
          <w:b/>
          <w:color w:val="1C5A7D"/>
          <w:sz w:val="24"/>
        </w:rPr>
      </w:pPr>
      <w:r>
        <w:rPr>
          <w:rFonts w:ascii="Franklin Gothic Book;sans-serif" w:hAnsi="Franklin Gothic Book;sans-serif"/>
          <w:b/>
          <w:color w:val="1C5A7D"/>
          <w:sz w:val="24"/>
        </w:rPr>
        <w:t>TABLE 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center"/>
        <w:rPr>
          <w:rFonts w:ascii="Franklin Gothic Book;sans-serif" w:hAnsi="Franklin Gothic Book;sans-serif"/>
          <w:b/>
          <w:color w:val="1C5A7D"/>
          <w:sz w:val="24"/>
        </w:rPr>
      </w:pPr>
      <w:r>
        <w:rPr>
          <w:rFonts w:ascii="Franklin Gothic Book;sans-serif" w:hAnsi="Franklin Gothic Book;sans-serif"/>
          <w:b/>
          <w:color w:val="1C5A7D"/>
          <w:sz w:val="24"/>
        </w:rPr>
        <w:t>BIOGEN INC. AND SUBSIDIARIES</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GAAP TO NON-GAAP RECONCILIATION</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OPERATING EXPENSE, OTHER (INCOME) EXPENSE, NET, AND INCOME TAX</w:t>
      </w:r>
    </w:p>
    <w:p>
      <w:pPr>
        <w:pStyle w:val="TextBody"/>
        <w:bidi w:val="0"/>
        <w:spacing w:lineRule="auto" w:line="288" w:before="0" w:after="0"/>
        <w:jc w:val="center"/>
        <w:rPr>
          <w:rFonts w:ascii="Franklin Gothic Book;sans-serif" w:hAnsi="Franklin Gothic Book;sans-serif"/>
          <w:b/>
          <w:i/>
          <w:color w:val="1C5A7D"/>
          <w:sz w:val="20"/>
        </w:rPr>
      </w:pPr>
      <w:r>
        <w:rPr>
          <w:rFonts w:ascii="Franklin Gothic Book;sans-serif" w:hAnsi="Franklin Gothic Book;sans-serif"/>
          <w:b/>
          <w:i/>
          <w:color w:val="1C5A7D"/>
          <w:sz w:val="20"/>
        </w:rPr>
        <w:t>(unaudited, in millions, except effective tax rate)</w:t>
      </w:r>
    </w:p>
    <w:p>
      <w:pPr>
        <w:pStyle w:val="TextBody"/>
        <w:bidi w:val="0"/>
        <w:spacing w:lineRule="auto" w:line="288" w:before="120" w:after="283"/>
        <w:ind w:left="0" w:right="0" w:firstLine="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supplement our GAAP consolidated financial statements and GAAP financial measures with other financial measures, such as adjusted net income, adjusted diluted earnings per share, revenue growth at constant currency, which excludes the impact of changes in foreign exchange rates and hedging gains or losses, and free cash flow, which is defined as net cash flow from operations less capital expenditures. We believe that these and other Non-GAAP financial measures provide additional insight into the ongoing economics of our business and reflect how we manage our business internally, set operational goals and form the basis of our management incentive programs. Non-GAAP financial measures are in addition to, not a substitute for, or superior to, measures of financial performance prepared in accordance with GAAP.</w:t>
      </w:r>
    </w:p>
    <w:tbl>
      <w:tblPr>
        <w:tblW w:w="10205" w:type="dxa"/>
        <w:jc w:val="left"/>
        <w:tblInd w:w="0" w:type="dxa"/>
        <w:tblLayout w:type="fixed"/>
        <w:tblCellMar>
          <w:top w:w="28" w:type="dxa"/>
          <w:left w:w="28" w:type="dxa"/>
          <w:bottom w:w="28" w:type="dxa"/>
          <w:right w:w="28" w:type="dxa"/>
        </w:tblCellMar>
      </w:tblPr>
      <w:tblGrid>
        <w:gridCol w:w="2170"/>
        <w:gridCol w:w="1807"/>
        <w:gridCol w:w="1821"/>
        <w:gridCol w:w="109"/>
        <w:gridCol w:w="109"/>
        <w:gridCol w:w="109"/>
        <w:gridCol w:w="304"/>
        <w:gridCol w:w="889"/>
        <w:gridCol w:w="369"/>
        <w:gridCol w:w="156"/>
        <w:gridCol w:w="156"/>
        <w:gridCol w:w="156"/>
        <w:gridCol w:w="304"/>
        <w:gridCol w:w="889"/>
        <w:gridCol w:w="369"/>
        <w:gridCol w:w="109"/>
        <w:gridCol w:w="109"/>
        <w:gridCol w:w="109"/>
        <w:gridCol w:w="161"/>
      </w:tblGrid>
      <w:tr>
        <w:trPr/>
        <w:tc>
          <w:tcPr>
            <w:tcW w:w="2170"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379" w:type="dxa"/>
            <w:gridSpan w:val="3"/>
            <w:tcBorders/>
          </w:tcPr>
          <w:p>
            <w:pPr>
              <w:pStyle w:val="TableContents"/>
              <w:bidi w:val="0"/>
              <w:spacing w:before="0" w:after="283"/>
              <w:jc w:val="left"/>
              <w:rPr>
                <w:sz w:val="4"/>
                <w:szCs w:val="4"/>
              </w:rPr>
            </w:pPr>
            <w:r>
              <w:rPr>
                <w:sz w:val="4"/>
                <w:szCs w:val="4"/>
              </w:rPr>
            </w:r>
          </w:p>
        </w:tc>
      </w:tr>
      <w:tr>
        <w:trPr/>
        <w:tc>
          <w:tcPr>
            <w:tcW w:w="5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497F"/>
                <w:sz w:val="16"/>
              </w:rPr>
            </w:pPr>
            <w:r>
              <w:rPr>
                <w:rFonts w:ascii="Franklin Gothic Book;sans-serif" w:hAnsi="Franklin Gothic Book;sans-serif"/>
                <w:b/>
                <w:color w:val="00497F"/>
                <w:sz w:val="16"/>
              </w:rPr>
              <w:t>2024</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cost of sales,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8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542.2 </w:t>
            </w:r>
          </w:p>
        </w:tc>
        <w:tc>
          <w:tcPr>
            <w:tcW w:w="3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662.8 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amortization of Reata inventory step-up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42.2 </w:t>
            </w:r>
          </w:p>
        </w:tc>
        <w:tc>
          <w:tcPr>
            <w:tcW w:w="3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cost of sales,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88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500.0 </w:t>
            </w:r>
          </w:p>
        </w:tc>
        <w:tc>
          <w:tcPr>
            <w:tcW w:w="36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662.8 </w:t>
            </w:r>
          </w:p>
        </w:tc>
        <w:tc>
          <w:tcPr>
            <w:tcW w:w="3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Research and Development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research and development expense,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8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452.9 </w:t>
            </w:r>
          </w:p>
        </w:tc>
        <w:tc>
          <w:tcPr>
            <w:tcW w:w="3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570.6 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restructuring charges and other cost saving initiatives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7.6 </w:t>
            </w:r>
          </w:p>
        </w:tc>
        <w:tc>
          <w:tcPr>
            <w:tcW w:w="3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(1.4)</w:t>
            </w:r>
          </w:p>
        </w:tc>
        <w:tc>
          <w:tcPr>
            <w:tcW w:w="3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research and development expense,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88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446.7 </w:t>
            </w:r>
          </w:p>
        </w:tc>
        <w:tc>
          <w:tcPr>
            <w:tcW w:w="36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570.5 </w:t>
            </w:r>
          </w:p>
        </w:tc>
        <w:tc>
          <w:tcPr>
            <w:tcW w:w="3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Selling, General and Administrative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selling, general and administrative,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8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581.5 </w:t>
            </w:r>
          </w:p>
        </w:tc>
        <w:tc>
          <w:tcPr>
            <w:tcW w:w="3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605.0 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acquisition-related transaction and integration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4.2 </w:t>
            </w:r>
          </w:p>
        </w:tc>
        <w:tc>
          <w:tcPr>
            <w:tcW w:w="3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restructuring charges and other cost saving initiatives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3.6 </w:t>
            </w:r>
          </w:p>
        </w:tc>
        <w:tc>
          <w:tcPr>
            <w:tcW w:w="3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4.3 </w:t>
            </w:r>
          </w:p>
        </w:tc>
        <w:tc>
          <w:tcPr>
            <w:tcW w:w="3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selling, general and administrative,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88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569.4 </w:t>
            </w:r>
          </w:p>
        </w:tc>
        <w:tc>
          <w:tcPr>
            <w:tcW w:w="36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602.6 </w:t>
            </w:r>
          </w:p>
        </w:tc>
        <w:tc>
          <w:tcPr>
            <w:tcW w:w="3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Amortization and Impairment of Acquired Intangible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amortization and impairment of acquired intangible assets,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8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78.3 </w:t>
            </w:r>
          </w:p>
        </w:tc>
        <w:tc>
          <w:tcPr>
            <w:tcW w:w="3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50.2 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amortization of acquired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68.8 </w:t>
            </w:r>
          </w:p>
        </w:tc>
        <w:tc>
          <w:tcPr>
            <w:tcW w:w="3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42.6 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amortization and impairment of acquired intangible assets,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88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9.5 </w:t>
            </w:r>
          </w:p>
        </w:tc>
        <w:tc>
          <w:tcPr>
            <w:tcW w:w="36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7.6 </w:t>
            </w:r>
          </w:p>
        </w:tc>
        <w:tc>
          <w:tcPr>
            <w:tcW w:w="3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Other (Income) Expense,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other (income) expense, net,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8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93.7 </w:t>
            </w:r>
          </w:p>
        </w:tc>
        <w:tc>
          <w:tcPr>
            <w:tcW w:w="3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69.4 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(gain) loss on equity security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30.7 </w:t>
            </w:r>
          </w:p>
        </w:tc>
        <w:tc>
          <w:tcPr>
            <w:tcW w:w="3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77.1 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497F"/>
              </w:rPr>
            </w:pPr>
            <w:r>
              <w:rPr>
                <w:color w:val="00497F"/>
              </w:rPr>
              <w:t>— </w:t>
            </w:r>
          </w:p>
        </w:tc>
        <w:tc>
          <w:tcPr>
            <w:tcW w:w="3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other (income) expense, net,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88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63.0 </w:t>
            </w:r>
          </w:p>
        </w:tc>
        <w:tc>
          <w:tcPr>
            <w:tcW w:w="36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(7.7)</w:t>
            </w:r>
          </w:p>
        </w:tc>
        <w:tc>
          <w:tcPr>
            <w:tcW w:w="3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Income Tax (Benefit)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income tax expense,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8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71.4 </w:t>
            </w:r>
          </w:p>
        </w:tc>
        <w:tc>
          <w:tcPr>
            <w:tcW w:w="3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50.7 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income tax effect related to Non-GAAP reconciling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(29.9)</w:t>
            </w:r>
          </w:p>
        </w:tc>
        <w:tc>
          <w:tcPr>
            <w:tcW w:w="3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(26.3)</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income tax expense,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88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101.3 </w:t>
            </w:r>
          </w:p>
        </w:tc>
        <w:tc>
          <w:tcPr>
            <w:tcW w:w="36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77.0 </w:t>
            </w:r>
          </w:p>
        </w:tc>
        <w:tc>
          <w:tcPr>
            <w:tcW w:w="3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Effective Tax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effective tax rate,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15.4 </w:t>
            </w:r>
          </w:p>
        </w:tc>
        <w:tc>
          <w:tcPr>
            <w:tcW w:w="36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11.6 </w:t>
            </w:r>
          </w:p>
        </w:tc>
        <w:tc>
          <w:tcPr>
            <w:tcW w:w="3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impact of GAAP to Non-GAAP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(0.5)</w:t>
            </w:r>
          </w:p>
        </w:tc>
        <w:tc>
          <w:tcPr>
            <w:tcW w:w="3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effective tax rate,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15.9 </w:t>
            </w:r>
          </w:p>
        </w:tc>
        <w:tc>
          <w:tcPr>
            <w:tcW w:w="3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13.5 </w:t>
            </w:r>
          </w:p>
        </w:tc>
        <w:tc>
          <w:tcPr>
            <w:tcW w:w="3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doub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13"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9</w:t>
                      </w:r>
                    </w:p>
                  </w:txbxContent>
                </v:textbox>
                <w10:wrap type="none"/>
              </v:rect>
            </w:pict>
          </mc:Fallback>
        </mc:AlternateContent>
      </w:r>
    </w:p>
    <w:p>
      <w:pPr>
        <w:pStyle w:val="TextBody"/>
        <w:bidi w:val="0"/>
        <w:spacing w:lineRule="auto" w:line="288" w:before="180" w:after="283"/>
        <w:ind w:left="0" w:right="0" w:firstLine="720"/>
        <w:jc w:val="center"/>
        <w:rPr>
          <w:rFonts w:ascii="Franklin Gothic Book;sans-serif" w:hAnsi="Franklin Gothic Book;sans-serif"/>
          <w:b/>
          <w:color w:val="1C5A7D"/>
          <w:sz w:val="24"/>
        </w:rPr>
      </w:pPr>
      <w:r>
        <w:rPr>
          <w:rFonts w:ascii="Franklin Gothic Book;sans-serif" w:hAnsi="Franklin Gothic Book;sans-serif"/>
          <w:b/>
          <w:color w:val="1C5A7D"/>
          <w:sz w:val="24"/>
        </w:rPr>
        <w:t>TABLE 4 (continued)</w:t>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BIOGEN INC. AND SUBSIDIARIES</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GAAP TO NON-GAAP RECONCILIATION</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NET INCOME ATTRIBUTABLE TO BIOGEN INC. &amp; DILUTED EPS</w:t>
      </w:r>
    </w:p>
    <w:p>
      <w:pPr>
        <w:pStyle w:val="TextBody"/>
        <w:bidi w:val="0"/>
        <w:spacing w:lineRule="auto" w:line="288" w:before="0" w:after="0"/>
        <w:jc w:val="center"/>
        <w:rPr>
          <w:rFonts w:ascii="Franklin Gothic Book;sans-serif" w:hAnsi="Franklin Gothic Book;sans-serif"/>
          <w:b/>
          <w:i/>
          <w:color w:val="1C5A7D"/>
          <w:sz w:val="20"/>
        </w:rPr>
      </w:pPr>
      <w:r>
        <w:rPr>
          <w:rFonts w:ascii="Franklin Gothic Book;sans-serif" w:hAnsi="Franklin Gothic Book;sans-serif"/>
          <w:b/>
          <w:i/>
          <w:color w:val="1C5A7D"/>
          <w:sz w:val="20"/>
        </w:rPr>
        <w:t>(unaudited, in millions, except per share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242"/>
        <w:gridCol w:w="1888"/>
        <w:gridCol w:w="1902"/>
        <w:gridCol w:w="109"/>
        <w:gridCol w:w="109"/>
        <w:gridCol w:w="109"/>
        <w:gridCol w:w="322"/>
        <w:gridCol w:w="942"/>
        <w:gridCol w:w="166"/>
        <w:gridCol w:w="166"/>
        <w:gridCol w:w="166"/>
        <w:gridCol w:w="166"/>
        <w:gridCol w:w="322"/>
        <w:gridCol w:w="942"/>
        <w:gridCol w:w="166"/>
        <w:gridCol w:w="109"/>
        <w:gridCol w:w="109"/>
        <w:gridCol w:w="109"/>
        <w:gridCol w:w="161"/>
      </w:tblGrid>
      <w:tr>
        <w:trPr/>
        <w:tc>
          <w:tcPr>
            <w:tcW w:w="2242"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379" w:type="dxa"/>
            <w:gridSpan w:val="3"/>
            <w:tcBorders/>
          </w:tcPr>
          <w:p>
            <w:pPr>
              <w:pStyle w:val="TableContents"/>
              <w:bidi w:val="0"/>
              <w:spacing w:before="0" w:after="283"/>
              <w:jc w:val="left"/>
              <w:rPr>
                <w:sz w:val="4"/>
                <w:szCs w:val="4"/>
              </w:rPr>
            </w:pPr>
            <w:r>
              <w:rPr>
                <w:sz w:val="4"/>
                <w:szCs w:val="4"/>
              </w:rPr>
            </w:r>
          </w:p>
        </w:tc>
      </w:tr>
      <w:tr>
        <w:trPr/>
        <w:tc>
          <w:tcPr>
            <w:tcW w:w="6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497F"/>
                <w:sz w:val="16"/>
              </w:rPr>
            </w:pPr>
            <w:r>
              <w:rPr>
                <w:rFonts w:ascii="Franklin Gothic Book;sans-serif" w:hAnsi="Franklin Gothic Book;sans-serif"/>
                <w:b/>
                <w:color w:val="00497F"/>
                <w:sz w:val="16"/>
              </w:rPr>
              <w:t>2024</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Net Income (loss) Attributable to Biogen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net income (loss) attributable to Biogen Inc.,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94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393.4 </w:t>
            </w:r>
          </w:p>
        </w:tc>
        <w:tc>
          <w:tcPr>
            <w:tcW w:w="1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4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387.9 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Plus: amortization of Reata inventory step-up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42.2 </w:t>
            </w:r>
          </w:p>
        </w:tc>
        <w:tc>
          <w:tcPr>
            <w:tcW w:w="1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Plus: acquisition-related transaction and integration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4.2 </w:t>
            </w:r>
          </w:p>
        </w:tc>
        <w:tc>
          <w:tcPr>
            <w:tcW w:w="1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Plus: amortization of acquired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68.8 </w:t>
            </w:r>
          </w:p>
        </w:tc>
        <w:tc>
          <w:tcPr>
            <w:tcW w:w="1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42.6 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Plus: restructuring charges and other cost saving initiatives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22.7 </w:t>
            </w:r>
          </w:p>
        </w:tc>
        <w:tc>
          <w:tcPr>
            <w:tcW w:w="1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Plus: (gain) loss on equity security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30.7 </w:t>
            </w:r>
          </w:p>
        </w:tc>
        <w:tc>
          <w:tcPr>
            <w:tcW w:w="1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77.1 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Plus: income tax effect related to Non-GAAP reconciling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(29.9)</w:t>
            </w:r>
          </w:p>
        </w:tc>
        <w:tc>
          <w:tcPr>
            <w:tcW w:w="1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(26.3)</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Plus: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2.9 </w:t>
            </w:r>
          </w:p>
        </w:tc>
        <w:tc>
          <w:tcPr>
            <w:tcW w:w="1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net income (loss) attributable to Biogen Inc.,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9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535.0 </w:t>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493.4 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Diluted Earnings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diluted earnings (loss) per share,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94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2.70 </w:t>
            </w:r>
          </w:p>
        </w:tc>
        <w:tc>
          <w:tcPr>
            <w:tcW w:w="1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4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2.67 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Plus: adjustments to GAAP net income attributable to Biogen Inc. (as detailed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0.97 </w:t>
            </w:r>
          </w:p>
        </w:tc>
        <w:tc>
          <w:tcPr>
            <w:tcW w:w="1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0.73 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diluted earnings per share,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6"/>
              </w:rPr>
            </w:pPr>
            <w:r>
              <w:rPr>
                <w:rFonts w:ascii="Franklin Gothic Book;sans-serif" w:hAnsi="Franklin Gothic Book;sans-serif"/>
                <w:b w:val="false"/>
                <w:color w:val="00497F"/>
                <w:sz w:val="16"/>
              </w:rPr>
              <w:t>$</w:t>
            </w:r>
          </w:p>
        </w:tc>
        <w:tc>
          <w:tcPr>
            <w:tcW w:w="9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6"/>
              </w:rPr>
            </w:pPr>
            <w:r>
              <w:rPr>
                <w:rFonts w:ascii="Franklin Gothic Book;sans-serif" w:hAnsi="Franklin Gothic Book;sans-serif"/>
                <w:b w:val="false"/>
                <w:color w:val="00497F"/>
                <w:sz w:val="16"/>
              </w:rPr>
              <w:t>3.67 </w:t>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3.40 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7955"/>
                <wp:effectExtent l="0" t="0" r="0" b="0"/>
                <wp:wrapNone/>
                <wp:docPr id="14"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10</w:t>
                      </w:r>
                    </w:p>
                  </w:txbxContent>
                </v:textbox>
                <w10:wrap type="none"/>
              </v:rect>
            </w:pict>
          </mc:Fallback>
        </mc:AlternateContent>
      </w:r>
    </w:p>
    <w:p>
      <w:pPr>
        <w:pStyle w:val="TextBody"/>
        <w:bidi w:val="0"/>
        <w:spacing w:lineRule="auto" w:line="288" w:before="180" w:after="283"/>
        <w:jc w:val="center"/>
        <w:rPr>
          <w:rFonts w:ascii="Franklin Gothic Book;sans-serif" w:hAnsi="Franklin Gothic Book;sans-serif"/>
          <w:b/>
          <w:color w:val="1C5A7D"/>
          <w:sz w:val="24"/>
        </w:rPr>
      </w:pPr>
      <w:r>
        <w:rPr>
          <w:rFonts w:ascii="Franklin Gothic Book;sans-serif" w:hAnsi="Franklin Gothic Book;sans-serif"/>
          <w:b/>
          <w:color w:val="1C5A7D"/>
          <w:sz w:val="24"/>
        </w:rPr>
        <w:t>TABLE 4 (continued)</w:t>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BIOGEN INC. AND SUBSIDIARIES</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GAAP TO NON-GAAP RECONCILIATION: REVENUE GROWTH AT CONSTANT CURRENCY</w:t>
      </w:r>
    </w:p>
    <w:p>
      <w:pPr>
        <w:pStyle w:val="TextBody"/>
        <w:bidi w:val="0"/>
        <w:spacing w:lineRule="auto" w:line="288" w:before="0" w:after="0"/>
        <w:jc w:val="center"/>
        <w:rPr>
          <w:rFonts w:ascii="Franklin Gothic Book;sans-serif" w:hAnsi="Franklin Gothic Book;sans-serif"/>
          <w:b/>
          <w:i/>
          <w:color w:val="1C5A7D"/>
          <w:sz w:val="20"/>
        </w:rPr>
      </w:pPr>
      <w:r>
        <w:rPr>
          <w:rFonts w:ascii="Franklin Gothic Book;sans-serif" w:hAnsi="Franklin Gothic Book;sans-serif"/>
          <w:b/>
          <w:i/>
          <w:color w:val="1C5A7D"/>
          <w:sz w:val="20"/>
        </w:rPr>
        <w:t>(unaudited)</w:t>
      </w:r>
    </w:p>
    <w:p>
      <w:pPr>
        <w:pStyle w:val="TextBody"/>
        <w:bidi w:val="0"/>
        <w:spacing w:lineRule="auto" w:line="288" w:before="120" w:after="283"/>
        <w:ind w:left="0" w:right="0" w:firstLine="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Percentage changes in revenue growth at constant currency are presented excluding the impact of changes in foreign currency exchange rates and hedging gains or losses. Foreign currency revenue values are converted into U.S. Dollars using the exchange rates from the end of the previous calendar year.</w:t>
      </w:r>
    </w:p>
    <w:tbl>
      <w:tblPr>
        <w:tblW w:w="9095" w:type="dxa"/>
        <w:jc w:val="left"/>
        <w:tblInd w:w="0" w:type="dxa"/>
        <w:tblLayout w:type="fixed"/>
        <w:tblCellMar>
          <w:top w:w="28" w:type="dxa"/>
          <w:left w:w="28" w:type="dxa"/>
          <w:bottom w:w="28" w:type="dxa"/>
          <w:right w:w="28" w:type="dxa"/>
        </w:tblCellMar>
      </w:tblPr>
      <w:tblGrid>
        <w:gridCol w:w="2637"/>
        <w:gridCol w:w="2320"/>
        <w:gridCol w:w="2333"/>
        <w:gridCol w:w="109"/>
        <w:gridCol w:w="109"/>
        <w:gridCol w:w="109"/>
        <w:gridCol w:w="351"/>
        <w:gridCol w:w="355"/>
        <w:gridCol w:w="509"/>
        <w:gridCol w:w="109"/>
        <w:gridCol w:w="154"/>
      </w:tblGrid>
      <w:tr>
        <w:trPr/>
        <w:tc>
          <w:tcPr>
            <w:tcW w:w="2637"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497F"/>
                <w:sz w:val="18"/>
              </w:rPr>
            </w:pPr>
            <w:r>
              <w:rPr>
                <w:rFonts w:ascii="Franklin Gothic Book;sans-serif" w:hAnsi="Franklin Gothic Book;sans-serif"/>
                <w:b/>
                <w:color w:val="00497F"/>
                <w:sz w:val="18"/>
              </w:rPr>
              <w:t>Q1 2024</w:t>
              <w:br/>
              <w:t>vs.</w:t>
              <w:br/>
              <w:t>Q1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8"/>
              </w:rPr>
            </w:pPr>
            <w:r>
              <w:rPr>
                <w:rFonts w:ascii="Franklin Gothic Book;sans-serif" w:hAnsi="Franklin Gothic Book;sans-serif"/>
                <w:b/>
                <w:color w:val="000000"/>
                <w:sz w:val="18"/>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change,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(7.0)</w:t>
            </w:r>
          </w:p>
        </w:tc>
        <w:tc>
          <w:tcPr>
            <w:tcW w:w="50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Less: impact of foreign currency translation and hedging gains /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497F"/>
              </w:rPr>
            </w:pPr>
            <w:r>
              <w:rPr>
                <w:color w:val="00497F"/>
              </w:rPr>
              <w:t>— </w:t>
            </w:r>
          </w:p>
        </w:tc>
        <w:tc>
          <w:tcPr>
            <w:tcW w:w="5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change at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(7.0)</w:t>
            </w:r>
          </w:p>
        </w:tc>
        <w:tc>
          <w:tcPr>
            <w:tcW w:w="50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8"/>
              </w:rPr>
            </w:pPr>
            <w:r>
              <w:rPr>
                <w:rFonts w:ascii="Franklin Gothic Book;sans-serif" w:hAnsi="Franklin Gothic Book;sans-serif"/>
                <w:b/>
                <w:color w:val="000000"/>
                <w:sz w:val="18"/>
              </w:rPr>
              <w:t>Total Product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change,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(2.9)</w:t>
            </w:r>
          </w:p>
        </w:tc>
        <w:tc>
          <w:tcPr>
            <w:tcW w:w="50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Less: impact of foreign currency translation and hedging gains /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(0.3)</w:t>
            </w:r>
          </w:p>
        </w:tc>
        <w:tc>
          <w:tcPr>
            <w:tcW w:w="5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change at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(2.6)</w:t>
            </w:r>
          </w:p>
        </w:tc>
        <w:tc>
          <w:tcPr>
            <w:tcW w:w="50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8"/>
              </w:rPr>
            </w:pPr>
            <w:r>
              <w:rPr>
                <w:rFonts w:ascii="Franklin Gothic Book;sans-serif" w:hAnsi="Franklin Gothic Book;sans-serif"/>
                <w:b/>
                <w:color w:val="000000"/>
                <w:sz w:val="18"/>
              </w:rPr>
              <w:t>Total MS Product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change,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(4.4)</w:t>
            </w:r>
          </w:p>
        </w:tc>
        <w:tc>
          <w:tcPr>
            <w:tcW w:w="50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Less: impact of foreign currency translation and hedging gains /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(0.2)</w:t>
            </w:r>
          </w:p>
        </w:tc>
        <w:tc>
          <w:tcPr>
            <w:tcW w:w="5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change at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(4.2)</w:t>
            </w:r>
          </w:p>
        </w:tc>
        <w:tc>
          <w:tcPr>
            <w:tcW w:w="50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8"/>
              </w:rPr>
            </w:pPr>
            <w:r>
              <w:rPr>
                <w:rFonts w:ascii="Franklin Gothic Book;sans-serif" w:hAnsi="Franklin Gothic Book;sans-serif"/>
                <w:b/>
                <w:color w:val="000000"/>
                <w:sz w:val="18"/>
              </w:rPr>
              <w:t>Total Rare Disease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change,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(4.4)</w:t>
            </w:r>
          </w:p>
        </w:tc>
        <w:tc>
          <w:tcPr>
            <w:tcW w:w="50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Less: impact of foreign currency translation and hedging gains /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(0.8)</w:t>
            </w:r>
          </w:p>
        </w:tc>
        <w:tc>
          <w:tcPr>
            <w:tcW w:w="5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change at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(3.6)</w:t>
            </w:r>
          </w:p>
        </w:tc>
        <w:tc>
          <w:tcPr>
            <w:tcW w:w="50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8"/>
              </w:rPr>
            </w:pPr>
            <w:r>
              <w:rPr>
                <w:rFonts w:ascii="Franklin Gothic Book;sans-serif" w:hAnsi="Franklin Gothic Book;sans-serif"/>
                <w:b/>
                <w:color w:val="000000"/>
                <w:sz w:val="18"/>
              </w:rPr>
              <w:t>Total SPINRAZA Rest of World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change,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(35.0)</w:t>
            </w:r>
          </w:p>
        </w:tc>
        <w:tc>
          <w:tcPr>
            <w:tcW w:w="50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Less: impact of foreign currency translation and hedging gains /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497F"/>
              </w:rPr>
            </w:pPr>
            <w:r>
              <w:rPr>
                <w:color w:val="00497F"/>
              </w:rPr>
              <w:t>— </w:t>
            </w:r>
          </w:p>
        </w:tc>
        <w:tc>
          <w:tcPr>
            <w:tcW w:w="5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change at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(35.0)</w:t>
            </w:r>
          </w:p>
        </w:tc>
        <w:tc>
          <w:tcPr>
            <w:tcW w:w="50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8"/>
              </w:rPr>
            </w:pPr>
            <w:r>
              <w:rPr>
                <w:rFonts w:ascii="Franklin Gothic Book;sans-serif" w:hAnsi="Franklin Gothic Book;sans-serif"/>
                <w:b/>
                <w:color w:val="000000"/>
                <w:sz w:val="18"/>
              </w:rPr>
              <w:t>Total Biosimilars Product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change,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2.3 </w:t>
            </w:r>
          </w:p>
        </w:tc>
        <w:tc>
          <w:tcPr>
            <w:tcW w:w="50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Less: impact of foreign currency translation and hedging gains /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(0.1)</w:t>
            </w:r>
          </w:p>
        </w:tc>
        <w:tc>
          <w:tcPr>
            <w:tcW w:w="5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change at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2.4 </w:t>
            </w:r>
          </w:p>
        </w:tc>
        <w:tc>
          <w:tcPr>
            <w:tcW w:w="50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8"/>
              </w:rPr>
            </w:pPr>
            <w:r>
              <w:rPr>
                <w:rFonts w:ascii="Franklin Gothic Book;sans-serif" w:hAnsi="Franklin Gothic Book;sans-serif"/>
                <w:b/>
                <w:color w:val="000000"/>
                <w:sz w:val="18"/>
              </w:rPr>
              <w:t>Total Other Product Revenue (FUMADERM, ADUHELM and ZURZUVAE):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change,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538.4 </w:t>
            </w:r>
          </w:p>
        </w:tc>
        <w:tc>
          <w:tcPr>
            <w:tcW w:w="50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Less: impact of foreign currency translation and hedging gains /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(3.2)</w:t>
            </w:r>
          </w:p>
        </w:tc>
        <w:tc>
          <w:tcPr>
            <w:tcW w:w="5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change at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541.6 </w:t>
            </w:r>
          </w:p>
        </w:tc>
        <w:tc>
          <w:tcPr>
            <w:tcW w:w="50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8"/>
              </w:rPr>
            </w:pPr>
            <w:r>
              <w:rPr>
                <w:rFonts w:ascii="Franklin Gothic Book;sans-serif" w:hAnsi="Franklin Gothic Book;sans-serif"/>
                <w:b/>
                <w:color w:val="000000"/>
                <w:sz w:val="18"/>
              </w:rPr>
              <w:t>Total Contract Manufacturing, Royalty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change,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(38.5)</w:t>
            </w:r>
          </w:p>
        </w:tc>
        <w:tc>
          <w:tcPr>
            <w:tcW w:w="50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Less: impact of foreign currency translation and hedging gains /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1.0 </w:t>
            </w:r>
          </w:p>
        </w:tc>
        <w:tc>
          <w:tcPr>
            <w:tcW w:w="5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change at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(39.5)</w:t>
            </w:r>
          </w:p>
        </w:tc>
        <w:tc>
          <w:tcPr>
            <w:tcW w:w="50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15"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11</w:t>
                      </w:r>
                    </w:p>
                  </w:txbxContent>
                </v:textbox>
                <w10:wrap type="none"/>
              </v:rect>
            </w:pict>
          </mc:Fallback>
        </mc:AlternateContent>
      </w:r>
    </w:p>
    <w:p>
      <w:pPr>
        <w:pStyle w:val="TextBody"/>
        <w:bidi w:val="0"/>
        <w:spacing w:lineRule="auto" w:line="288" w:before="180" w:after="283"/>
        <w:ind w:left="0" w:right="0" w:firstLine="720"/>
        <w:jc w:val="center"/>
        <w:rPr>
          <w:rFonts w:ascii="Franklin Gothic Book;sans-serif" w:hAnsi="Franklin Gothic Book;sans-serif"/>
          <w:b/>
          <w:color w:val="1C5A7D"/>
          <w:sz w:val="24"/>
        </w:rPr>
      </w:pPr>
      <w:r>
        <w:rPr>
          <w:rFonts w:ascii="Franklin Gothic Book;sans-serif" w:hAnsi="Franklin Gothic Book;sans-serif"/>
          <w:b/>
          <w:color w:val="1C5A7D"/>
          <w:sz w:val="24"/>
        </w:rPr>
        <w:t>TABLE 4 (continued)</w:t>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BIOGEN INC. AND SUBSIDIARIES</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GAAP TO NON-GAAP RECONCILIATION</w:t>
      </w:r>
    </w:p>
    <w:p>
      <w:pPr>
        <w:pStyle w:val="TextBody"/>
        <w:bidi w:val="0"/>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FREE CASH FLOW</w:t>
      </w:r>
    </w:p>
    <w:p>
      <w:pPr>
        <w:pStyle w:val="TextBody"/>
        <w:bidi w:val="0"/>
        <w:spacing w:lineRule="auto" w:line="288" w:before="0" w:after="0"/>
        <w:jc w:val="center"/>
        <w:rPr>
          <w:rFonts w:ascii="Franklin Gothic Book;sans-serif" w:hAnsi="Franklin Gothic Book;sans-serif"/>
          <w:b/>
          <w:i/>
          <w:color w:val="1C5A7D"/>
          <w:sz w:val="20"/>
        </w:rPr>
      </w:pPr>
      <w:r>
        <w:rPr>
          <w:rFonts w:ascii="Franklin Gothic Book;sans-serif" w:hAnsi="Franklin Gothic Book;sans-serif"/>
          <w:b/>
          <w:i/>
          <w:color w:val="1C5A7D"/>
          <w:sz w:val="20"/>
        </w:rPr>
        <w:t>(unaudited, in millions)</w:t>
      </w:r>
    </w:p>
    <w:p>
      <w:pPr>
        <w:pStyle w:val="TextBody"/>
        <w:bidi w:val="0"/>
        <w:spacing w:lineRule="auto" w:line="288" w:before="120" w:after="283"/>
        <w:ind w:left="0" w:right="0" w:firstLine="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define free cash flow as net cash provided by (used in) operating activities in the period less capital expenditures made in the period. The following table reconciles net cash provided by (used in) operating activities, a GAAP measure, to free cash flow, a Non-GAAP measure.</w:t>
      </w:r>
    </w:p>
    <w:p>
      <w:pPr>
        <w:pStyle w:val="TextBody"/>
        <w:bidi w:val="0"/>
        <w:spacing w:before="0" w:after="0"/>
        <w:ind w:left="0" w:right="0" w:firstLine="720"/>
        <w:jc w:val="left"/>
        <w:rPr/>
      </w:pPr>
      <w:r>
        <w:rPr/>
      </w:r>
    </w:p>
    <w:tbl>
      <w:tblPr>
        <w:tblW w:w="9836" w:type="dxa"/>
        <w:jc w:val="center"/>
        <w:tblInd w:w="0" w:type="dxa"/>
        <w:tblLayout w:type="fixed"/>
        <w:tblCellMar>
          <w:top w:w="28" w:type="dxa"/>
          <w:left w:w="28" w:type="dxa"/>
          <w:bottom w:w="28" w:type="dxa"/>
          <w:right w:w="28" w:type="dxa"/>
        </w:tblCellMar>
      </w:tblPr>
      <w:tblGrid>
        <w:gridCol w:w="1794"/>
        <w:gridCol w:w="1573"/>
        <w:gridCol w:w="1582"/>
        <w:gridCol w:w="109"/>
        <w:gridCol w:w="109"/>
        <w:gridCol w:w="109"/>
        <w:gridCol w:w="369"/>
        <w:gridCol w:w="1152"/>
        <w:gridCol w:w="178"/>
        <w:gridCol w:w="178"/>
        <w:gridCol w:w="178"/>
        <w:gridCol w:w="178"/>
        <w:gridCol w:w="369"/>
        <w:gridCol w:w="1299"/>
        <w:gridCol w:w="178"/>
        <w:gridCol w:w="109"/>
        <w:gridCol w:w="109"/>
        <w:gridCol w:w="109"/>
        <w:gridCol w:w="154"/>
      </w:tblGrid>
      <w:tr>
        <w:trPr/>
        <w:tc>
          <w:tcPr>
            <w:tcW w:w="1794"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497F"/>
                <w:sz w:val="18"/>
              </w:rPr>
            </w:pPr>
            <w:r>
              <w:rPr>
                <w:rFonts w:ascii="Franklin Gothic Book;sans-serif" w:hAnsi="Franklin Gothic Book;sans-serif"/>
                <w:b/>
                <w:color w:val="00497F"/>
                <w:sz w:val="18"/>
              </w:rPr>
              <w:t>2024</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8"/>
              </w:rPr>
            </w:pPr>
            <w:r>
              <w:rPr>
                <w:rFonts w:ascii="Franklin Gothic Book;sans-serif" w:hAnsi="Franklin Gothic Book;sans-serif"/>
                <w:b/>
                <w:color w:val="000000"/>
                <w:sz w:val="18"/>
              </w:rPr>
              <w:t>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Net cash provided by (used in)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115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553.2 </w:t>
            </w:r>
          </w:p>
        </w:tc>
        <w:tc>
          <w:tcPr>
            <w:tcW w:w="1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29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455.3 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Net cash provided by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(66.0)</w:t>
            </w:r>
          </w:p>
        </w:tc>
        <w:tc>
          <w:tcPr>
            <w:tcW w:w="1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(953.0)</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Net cash provided by (used in)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(439.6)</w:t>
            </w:r>
          </w:p>
        </w:tc>
        <w:tc>
          <w:tcPr>
            <w:tcW w:w="1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(43.4)</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Net increase (decrease) in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115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47.6 </w:t>
            </w:r>
          </w:p>
        </w:tc>
        <w:tc>
          <w:tcPr>
            <w:tcW w:w="17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2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(541.1)</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Net cash provided by (used in)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115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553.2 </w:t>
            </w:r>
          </w:p>
        </w:tc>
        <w:tc>
          <w:tcPr>
            <w:tcW w:w="1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29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455.3 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Less: Purchases of property, plant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45.9 </w:t>
            </w:r>
          </w:p>
        </w:tc>
        <w:tc>
          <w:tcPr>
            <w:tcW w:w="1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66.6 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Free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497F"/>
                <w:sz w:val="18"/>
              </w:rPr>
            </w:pPr>
            <w:r>
              <w:rPr>
                <w:rFonts w:ascii="Franklin Gothic Book;sans-serif" w:hAnsi="Franklin Gothic Book;sans-serif"/>
                <w:b w:val="false"/>
                <w:color w:val="00497F"/>
                <w:sz w:val="18"/>
              </w:rPr>
              <w:t>$</w:t>
            </w:r>
          </w:p>
        </w:tc>
        <w:tc>
          <w:tcPr>
            <w:tcW w:w="115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497F"/>
                <w:sz w:val="18"/>
              </w:rPr>
            </w:pPr>
            <w:r>
              <w:rPr>
                <w:rFonts w:ascii="Franklin Gothic Book;sans-serif" w:hAnsi="Franklin Gothic Book;sans-serif"/>
                <w:b w:val="false"/>
                <w:color w:val="00497F"/>
                <w:sz w:val="18"/>
              </w:rPr>
              <w:t>507.3 </w:t>
            </w:r>
          </w:p>
        </w:tc>
        <w:tc>
          <w:tcPr>
            <w:tcW w:w="17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2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388.7 </w:t>
            </w:r>
          </w:p>
        </w:tc>
        <w:tc>
          <w:tcPr>
            <w:tcW w:w="1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16"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12</w:t>
                      </w:r>
                    </w:p>
                  </w:txbxContent>
                </v:textbox>
                <w10:wrap type="none"/>
              </v:rect>
            </w:pict>
          </mc:Fallback>
        </mc:AlternateContent>
      </w:r>
    </w:p>
    <w:p>
      <w:pPr>
        <w:pStyle w:val="TextBody"/>
        <w:bidi w:val="0"/>
        <w:spacing w:lineRule="auto" w:line="288" w:before="120" w:after="283"/>
        <w:ind w:left="0" w:right="0" w:firstLine="720"/>
        <w:jc w:val="center"/>
        <w:rPr>
          <w:rFonts w:ascii="Franklin Gothic Book;sans-serif" w:hAnsi="Franklin Gothic Book;sans-serif"/>
          <w:b/>
          <w:color w:val="2573BA"/>
          <w:sz w:val="24"/>
        </w:rPr>
      </w:pPr>
      <w:r>
        <w:rPr>
          <w:rFonts w:ascii="Franklin Gothic Book;sans-serif" w:hAnsi="Franklin Gothic Book;sans-serif"/>
          <w:b/>
          <w:color w:val="2573BA"/>
          <w:sz w:val="24"/>
        </w:rPr>
        <w:t xml:space="preserve">Use of Non-GAAP Financial Measures </w:t>
      </w:r>
    </w:p>
    <w:p>
      <w:pPr>
        <w:pStyle w:val="TextBody"/>
        <w:bidi w:val="0"/>
        <w:spacing w:lineRule="auto" w:line="288" w:before="1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supplement our GAAP consolidated financial statements and GAAP financial measures with other financial measures, such as adjusted net income, adjusted diluted earnings per share, revenue growth at constant currency, which excludes the impact of changes in foreign exchange rates and hedging gains or losses, and free cash flow, which is defined as net cash flow from operations less capital expenditures. We believe that these and other Non-GAAP financial measures provide additional insight into the ongoing economics of our business and reflect how we manage our business internally, set operational goals and form the basis of our management incentive programs. Non-GAAP financial measures are in addition to, not a substitute for, or superior to, measures of financial performance prepared in accordance with GAAP.</w:t>
      </w:r>
    </w:p>
    <w:p>
      <w:pPr>
        <w:pStyle w:val="TextBody"/>
        <w:bidi w:val="0"/>
        <w:spacing w:lineRule="auto" w:line="288" w:before="1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Our “Non-GAAP net income attributable to Biogen Inc.” and “Non-GAAP earnings per share - Diluted” financial measures exclude the following items from “GAAP net income attributable to Biogen Inc.” and “GAAP earnings per share - Diluted”:</w:t>
      </w:r>
    </w:p>
    <w:p>
      <w:pPr>
        <w:pStyle w:val="TextBody"/>
        <w:bidi w:val="0"/>
        <w:spacing w:lineRule="auto" w:line="417" w:before="180" w:after="283"/>
        <w:jc w:val="left"/>
        <w:rPr>
          <w:rFonts w:ascii="Franklin Gothic Book;sans-serif" w:hAnsi="Franklin Gothic Book;sans-serif"/>
          <w:b w:val="false"/>
          <w:color w:val="000000"/>
          <w:sz w:val="20"/>
          <w:u w:val="single"/>
        </w:rPr>
      </w:pPr>
      <w:r>
        <w:rPr>
          <w:rFonts w:ascii="Franklin Gothic Book;sans-serif" w:hAnsi="Franklin Gothic Book;sans-serif"/>
          <w:b w:val="false"/>
          <w:color w:val="000000"/>
          <w:sz w:val="20"/>
          <w:u w:val="single"/>
        </w:rPr>
        <w:t>1. Acquisitions and divestitures</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We exclude transaction, integration and certain other costs related to the acquisition and divestiture of businesses and items associated with the initial consolidation or deconsolidation of variable interest entities. These adjustments include, but are not limited to, the amortization and impairment of intangible assets, charges or credits from the fair value remeasurement of our contingent consideration obligations and losses on assets and liabilities held for sale. </w:t>
      </w:r>
    </w:p>
    <w:p>
      <w:pPr>
        <w:pStyle w:val="TextBody"/>
        <w:bidi w:val="0"/>
        <w:spacing w:lineRule="auto" w:line="417" w:before="180" w:after="283"/>
        <w:jc w:val="left"/>
        <w:rPr>
          <w:rFonts w:ascii="Franklin Gothic Book;sans-serif" w:hAnsi="Franklin Gothic Book;sans-serif"/>
          <w:b w:val="false"/>
          <w:color w:val="000000"/>
          <w:sz w:val="20"/>
          <w:u w:val="single"/>
        </w:rPr>
      </w:pPr>
      <w:r>
        <w:rPr>
          <w:rFonts w:ascii="Franklin Gothic Book;sans-serif" w:hAnsi="Franklin Gothic Book;sans-serif"/>
          <w:b w:val="false"/>
          <w:color w:val="000000"/>
          <w:sz w:val="20"/>
          <w:u w:val="single"/>
        </w:rPr>
        <w:t>2. Restructuring, business transformation and other cost saving initiatives</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exclude costs associated with our execution of certain strategies and initiatives to streamline operations, achieve targeted cost reductions, rationalize manufacturing facilities or refocus research and development activities. These costs may include employee separation costs, retention bonuses, facility closing and exit costs, asset impairment charges or additional depreciation when the expected useful life of certain assets have been shortened due to changes in anticipated usage and other costs or credits that management believes do not have a direct correlation to our ongoing or future business operations.</w:t>
      </w:r>
    </w:p>
    <w:p>
      <w:pPr>
        <w:pStyle w:val="TextBody"/>
        <w:bidi w:val="0"/>
        <w:spacing w:lineRule="auto" w:line="417" w:before="180" w:after="283"/>
        <w:jc w:val="left"/>
        <w:rPr>
          <w:rFonts w:ascii="Franklin Gothic Book;sans-serif" w:hAnsi="Franklin Gothic Book;sans-serif"/>
          <w:b w:val="false"/>
          <w:color w:val="000000"/>
          <w:sz w:val="20"/>
          <w:u w:val="single"/>
        </w:rPr>
      </w:pPr>
      <w:r>
        <w:rPr>
          <w:rFonts w:ascii="Franklin Gothic Book;sans-serif" w:hAnsi="Franklin Gothic Book;sans-serif"/>
          <w:b w:val="false"/>
          <w:color w:val="000000"/>
          <w:sz w:val="20"/>
          <w:u w:val="single"/>
        </w:rPr>
        <w:t>3. (Gain) loss on equity security investments</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 exclude unrealized and realized gains and losses related to our equity security investments as we do not believe that these components of income or expense have a direct correlation to our ongoing or future business operations.</w:t>
      </w:r>
    </w:p>
    <w:p>
      <w:pPr>
        <w:pStyle w:val="TextBody"/>
        <w:bidi w:val="0"/>
        <w:spacing w:lineRule="auto" w:line="417" w:before="180" w:after="283"/>
        <w:jc w:val="left"/>
        <w:rPr>
          <w:rFonts w:ascii="Franklin Gothic Book;sans-serif" w:hAnsi="Franklin Gothic Book;sans-serif"/>
          <w:b w:val="false"/>
          <w:color w:val="000000"/>
          <w:sz w:val="20"/>
          <w:u w:val="single"/>
        </w:rPr>
      </w:pPr>
      <w:r>
        <w:rPr>
          <w:rFonts w:ascii="Franklin Gothic Book;sans-serif" w:hAnsi="Franklin Gothic Book;sans-serif"/>
          <w:b w:val="false"/>
          <w:color w:val="000000"/>
          <w:sz w:val="20"/>
          <w:u w:val="single"/>
        </w:rPr>
        <w:t>4. Other items</w:t>
      </w:r>
    </w:p>
    <w:p>
      <w:pPr>
        <w:pStyle w:val="TextBody"/>
        <w:bidi w:val="0"/>
        <w:spacing w:lineRule="auto" w:line="288"/>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We evaluate other items of income and expense on an individual basis and consider both the quantitative and qualitative aspects of the item, including (i) its size and nature, (ii) whether or not it relates to our ongoing business operations and (iii) whether or not we expect it to occur as part of our normal business on a regular basis. We also include an adjustment to reflect the related tax effect of all reconciling items within our reconciliation of our GAAP to Non-GAAP net income attributable to Biogen Inc. and earnings per share - diluted. </w:t>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17"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Franklin Gothic Book;sans-serif" w:hAnsi="Franklin Gothic Book;sans-serif"/>
                          <w:b w:val="false"/>
                          <w:color w:val="447260"/>
                          <w:sz w:val="20"/>
                        </w:rPr>
                      </w:pPr>
                      <w:r>
                        <w:rPr>
                          <w:rFonts w:ascii="Franklin Gothic Book;sans-serif" w:hAnsi="Franklin Gothic Book;sans-serif"/>
                          <w:b w:val="false"/>
                          <w:color w:val="447260"/>
                          <w:sz w:val="20"/>
                        </w:rPr>
                        <w:t>13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Franklin Gothic Book">
    <w:altName w:val="sans-serif"/>
    <w:charset w:val="01"/>
    <w:family w:val="auto"/>
    <w:pitch w:val="default"/>
  </w:font>
  <w:font w:name="Wingdings 3">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5265</Words>
  <Characters>29378</Characters>
  <CharactersWithSpaces>34166</CharactersWithSpaces>
  <Paragraphs>914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